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Default="00CD210A">
      <w:pPr>
        <w:rPr>
          <w:b/>
        </w:rPr>
      </w:pPr>
      <w:r>
        <w:tab/>
      </w:r>
      <w:r>
        <w:rPr>
          <w:b/>
        </w:rPr>
        <w:t>Q11.</w:t>
      </w:r>
      <w:r>
        <w:rPr>
          <w:b/>
        </w:rPr>
        <w:tab/>
        <w:t>If more than one discharge of debt exclusion ap</w:t>
      </w:r>
      <w:r w:rsidR="006F0F32">
        <w:rPr>
          <w:b/>
        </w:rPr>
        <w:t>plies, which one takes precedence?</w:t>
      </w:r>
    </w:p>
    <w:p w:rsidR="006F0F32" w:rsidRDefault="006F0F32" w:rsidP="00D55A25">
      <w:pPr>
        <w:jc w:val="both"/>
      </w:pPr>
      <w:r>
        <w:rPr>
          <w:b/>
        </w:rPr>
        <w:tab/>
      </w:r>
      <w:r>
        <w:t>Clearly, it is possible for more than one discharge of debt exclusion to apply.  Depending on the taxpayer’s situation, however, there is an order of precedence that must be followed.  In other words, the exclusion with the highest precedence applies.</w:t>
      </w:r>
      <w:r w:rsidR="00D55A25">
        <w:rPr>
          <w:rStyle w:val="EndnoteReference"/>
        </w:rPr>
        <w:endnoteReference w:id="1"/>
      </w:r>
    </w:p>
    <w:p w:rsidR="006F0F32" w:rsidRDefault="00D55A25" w:rsidP="00D55A25">
      <w:pPr>
        <w:ind w:firstLine="720"/>
        <w:jc w:val="both"/>
      </w:pPr>
      <w:r>
        <w:t xml:space="preserve">So, if a taxpayer is in bankruptcy, that exclusion applies regardless of whether any of the other exclusions apply.  If the taxpayer is insolvent (but not in bankruptcy) that exclusion applies regardless of whether the </w:t>
      </w:r>
      <w:r w:rsidR="006F0F32">
        <w:t xml:space="preserve">qualified </w:t>
      </w:r>
      <w:r>
        <w:t xml:space="preserve">farm indebtedness or </w:t>
      </w:r>
      <w:r w:rsidR="006F0F32">
        <w:t>qualified real property business indebtedness</w:t>
      </w:r>
      <w:r>
        <w:t xml:space="preserve"> exclusions apply.  If, the </w:t>
      </w:r>
      <w:r w:rsidR="006F0F32">
        <w:t>qualified principal residence exclusion</w:t>
      </w:r>
      <w:r>
        <w:t xml:space="preserve"> also applies, however, that exclusion would apply unless the taxpayer elects to apply the insolvency exclusion.</w:t>
      </w:r>
      <w:r>
        <w:rPr>
          <w:rStyle w:val="EndnoteReference"/>
        </w:rPr>
        <w:endnoteReference w:id="2"/>
      </w:r>
    </w:p>
    <w:p w:rsidR="006F0F32" w:rsidRPr="006F0F32" w:rsidRDefault="00D55A25" w:rsidP="00D55A25">
      <w:pPr>
        <w:ind w:firstLine="720"/>
        <w:jc w:val="both"/>
      </w:pPr>
      <w:r w:rsidRPr="006F0AFE">
        <w:rPr>
          <w:b/>
          <w:i/>
        </w:rPr>
        <w:t>Example</w:t>
      </w:r>
      <w:r>
        <w:t xml:space="preserve">:  In 2015, the fair market value of Asher’s assets is $200,000 and the aggregate amount of his liabilities is $250,000.  Thus, Asher is insolvent to the extent of $50,000 ($250,000 minus $200,000).  In a bankruptcy proceeding, Asher receives a discharge of </w:t>
      </w:r>
      <w:r w:rsidR="00286356">
        <w:t>$150,000</w:t>
      </w:r>
      <w:r>
        <w:t xml:space="preserve"> of his debt.  As a result, Asher becomes s</w:t>
      </w:r>
      <w:r w:rsidR="00286356">
        <w:t>olvent to the extent of $100,000 ($200,000 minus $100,000)</w:t>
      </w:r>
      <w:r>
        <w:t>.  Under these circumstances, the bankruptcy exclusion and the insolvency exclusion both apply.  Applying the insolvency exclusion, because the discharge made Asher solvent to the extent of $1</w:t>
      </w:r>
      <w:r w:rsidR="00286356">
        <w:t>0</w:t>
      </w:r>
      <w:r>
        <w:t>0,000, only $</w:t>
      </w:r>
      <w:r w:rsidR="00286356">
        <w:t>50,000 (the extent o</w:t>
      </w:r>
      <w:bookmarkStart w:id="0" w:name="_GoBack"/>
      <w:bookmarkEnd w:id="0"/>
      <w:r w:rsidR="00286356">
        <w:t>f Asher’s insolvency) of the $15</w:t>
      </w:r>
      <w:r>
        <w:t>0,000 discharge</w:t>
      </w:r>
      <w:r w:rsidR="00BD7DE2">
        <w:t>d debt</w:t>
      </w:r>
      <w:r>
        <w:t xml:space="preserve"> would</w:t>
      </w:r>
      <w:r w:rsidR="00286356">
        <w:t xml:space="preserve"> be excluded from gross income</w:t>
      </w:r>
      <w:r>
        <w:t xml:space="preserve">.  </w:t>
      </w:r>
      <w:r w:rsidR="00286356">
        <w:t>The balance, $100,000 of discharged debt would be included in gross income.  However, th</w:t>
      </w:r>
      <w:r>
        <w:t>e bankruptcy exclusion takes precedence over the insolvency exclusion</w:t>
      </w:r>
      <w:r w:rsidR="00286356">
        <w:t xml:space="preserve"> so Asher would exclude the entire </w:t>
      </w:r>
      <w:r w:rsidR="00BD7DE2">
        <w:t xml:space="preserve">$150,000 of </w:t>
      </w:r>
      <w:r w:rsidR="00286356">
        <w:t>discharge</w:t>
      </w:r>
      <w:r w:rsidR="00BD7DE2">
        <w:t>d debt</w:t>
      </w:r>
      <w:r>
        <w:t xml:space="preserve"> (rather than $50,000) from gross income.</w:t>
      </w:r>
      <w:r w:rsidRPr="006F0F32">
        <w:t xml:space="preserve"> </w:t>
      </w:r>
    </w:p>
    <w:sectPr w:rsidR="006F0F32" w:rsidRPr="006F0F3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25" w:rsidRDefault="00D55A25" w:rsidP="00D55A25">
      <w:pPr>
        <w:spacing w:after="0" w:line="240" w:lineRule="auto"/>
      </w:pPr>
      <w:r>
        <w:separator/>
      </w:r>
    </w:p>
  </w:endnote>
  <w:endnote w:type="continuationSeparator" w:id="0">
    <w:p w:rsidR="00D55A25" w:rsidRDefault="00D55A25" w:rsidP="00D55A25">
      <w:pPr>
        <w:spacing w:after="0" w:line="240" w:lineRule="auto"/>
      </w:pPr>
      <w:r>
        <w:continuationSeparator/>
      </w:r>
    </w:p>
  </w:endnote>
  <w:endnote w:id="1">
    <w:p w:rsidR="00D55A25" w:rsidRDefault="00D55A25">
      <w:pPr>
        <w:pStyle w:val="EndnoteText"/>
      </w:pPr>
      <w:r>
        <w:rPr>
          <w:rStyle w:val="EndnoteReference"/>
        </w:rPr>
        <w:endnoteRef/>
      </w:r>
      <w:r>
        <w:t xml:space="preserve"> IRC Section 108(a)(2),</w:t>
      </w:r>
    </w:p>
  </w:endnote>
  <w:endnote w:id="2">
    <w:p w:rsidR="00D55A25" w:rsidRDefault="00D55A25">
      <w:pPr>
        <w:pStyle w:val="EndnoteText"/>
      </w:pPr>
      <w:r>
        <w:rPr>
          <w:rStyle w:val="EndnoteReference"/>
        </w:rPr>
        <w:endnoteRef/>
      </w:r>
      <w:r>
        <w:t xml:space="preserve"> IRC Section 108(a</w:t>
      </w:r>
      <w:proofErr w:type="gramStart"/>
      <w:r>
        <w:t>)(</w:t>
      </w:r>
      <w:proofErr w:type="gramEnd"/>
      <w:r>
        <w:t>2)(C).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25" w:rsidRDefault="00D55A25" w:rsidP="00D55A25">
      <w:pPr>
        <w:spacing w:after="0" w:line="240" w:lineRule="auto"/>
      </w:pPr>
      <w:r>
        <w:separator/>
      </w:r>
    </w:p>
  </w:footnote>
  <w:footnote w:type="continuationSeparator" w:id="0">
    <w:p w:rsidR="00D55A25" w:rsidRDefault="00D55A25" w:rsidP="00D55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C23C3"/>
    <w:multiLevelType w:val="hybridMultilevel"/>
    <w:tmpl w:val="53FA0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0A"/>
    <w:rsid w:val="00017DA9"/>
    <w:rsid w:val="0005579B"/>
    <w:rsid w:val="00065372"/>
    <w:rsid w:val="00096CD7"/>
    <w:rsid w:val="000B6D80"/>
    <w:rsid w:val="000D1B69"/>
    <w:rsid w:val="000D1DD3"/>
    <w:rsid w:val="000D309C"/>
    <w:rsid w:val="000E45CF"/>
    <w:rsid w:val="001407DD"/>
    <w:rsid w:val="001666CE"/>
    <w:rsid w:val="00181171"/>
    <w:rsid w:val="00187E18"/>
    <w:rsid w:val="001B2277"/>
    <w:rsid w:val="001E102C"/>
    <w:rsid w:val="001E78AF"/>
    <w:rsid w:val="001F3535"/>
    <w:rsid w:val="002123D7"/>
    <w:rsid w:val="0021418D"/>
    <w:rsid w:val="0022572F"/>
    <w:rsid w:val="0022797E"/>
    <w:rsid w:val="00237C29"/>
    <w:rsid w:val="00247847"/>
    <w:rsid w:val="00252809"/>
    <w:rsid w:val="0026464D"/>
    <w:rsid w:val="00286356"/>
    <w:rsid w:val="00291BDA"/>
    <w:rsid w:val="00294E96"/>
    <w:rsid w:val="002D0438"/>
    <w:rsid w:val="002D2650"/>
    <w:rsid w:val="002E1FB1"/>
    <w:rsid w:val="00311593"/>
    <w:rsid w:val="003216BF"/>
    <w:rsid w:val="00332BCF"/>
    <w:rsid w:val="00337C0C"/>
    <w:rsid w:val="00352E4A"/>
    <w:rsid w:val="0035310E"/>
    <w:rsid w:val="00375EB3"/>
    <w:rsid w:val="0038766E"/>
    <w:rsid w:val="0039412E"/>
    <w:rsid w:val="003A4CF8"/>
    <w:rsid w:val="003A58B0"/>
    <w:rsid w:val="003C245D"/>
    <w:rsid w:val="003D5CD7"/>
    <w:rsid w:val="003E7EA0"/>
    <w:rsid w:val="003F1422"/>
    <w:rsid w:val="003F2893"/>
    <w:rsid w:val="0041187E"/>
    <w:rsid w:val="004501EA"/>
    <w:rsid w:val="00450A73"/>
    <w:rsid w:val="0045112A"/>
    <w:rsid w:val="00484F54"/>
    <w:rsid w:val="00487562"/>
    <w:rsid w:val="004A01B9"/>
    <w:rsid w:val="004B1A85"/>
    <w:rsid w:val="004C4D59"/>
    <w:rsid w:val="004D432A"/>
    <w:rsid w:val="004F4D69"/>
    <w:rsid w:val="00525036"/>
    <w:rsid w:val="00530A2D"/>
    <w:rsid w:val="00535169"/>
    <w:rsid w:val="005518A6"/>
    <w:rsid w:val="00553D70"/>
    <w:rsid w:val="00574A99"/>
    <w:rsid w:val="00586A62"/>
    <w:rsid w:val="00596657"/>
    <w:rsid w:val="005E6716"/>
    <w:rsid w:val="006011E6"/>
    <w:rsid w:val="00603D9E"/>
    <w:rsid w:val="0061110F"/>
    <w:rsid w:val="00632370"/>
    <w:rsid w:val="00635896"/>
    <w:rsid w:val="00647606"/>
    <w:rsid w:val="00651BC7"/>
    <w:rsid w:val="00660F11"/>
    <w:rsid w:val="006662AD"/>
    <w:rsid w:val="00666BCB"/>
    <w:rsid w:val="00694DEF"/>
    <w:rsid w:val="00697C9B"/>
    <w:rsid w:val="006A76FD"/>
    <w:rsid w:val="006C3D81"/>
    <w:rsid w:val="006C5033"/>
    <w:rsid w:val="006D6733"/>
    <w:rsid w:val="006E70F3"/>
    <w:rsid w:val="006F0AFE"/>
    <w:rsid w:val="006F0F32"/>
    <w:rsid w:val="0070022D"/>
    <w:rsid w:val="00735B03"/>
    <w:rsid w:val="00753D0D"/>
    <w:rsid w:val="0079724B"/>
    <w:rsid w:val="007A017F"/>
    <w:rsid w:val="007A27DD"/>
    <w:rsid w:val="007B4753"/>
    <w:rsid w:val="007C3F89"/>
    <w:rsid w:val="007D094B"/>
    <w:rsid w:val="007D3C17"/>
    <w:rsid w:val="007F14CC"/>
    <w:rsid w:val="007F5088"/>
    <w:rsid w:val="00843C3B"/>
    <w:rsid w:val="008459E4"/>
    <w:rsid w:val="00883B6C"/>
    <w:rsid w:val="00887803"/>
    <w:rsid w:val="008A2B33"/>
    <w:rsid w:val="008B3AFD"/>
    <w:rsid w:val="008E6D5E"/>
    <w:rsid w:val="009519AE"/>
    <w:rsid w:val="00954021"/>
    <w:rsid w:val="00991EA2"/>
    <w:rsid w:val="00993EB0"/>
    <w:rsid w:val="009B1D25"/>
    <w:rsid w:val="009B288E"/>
    <w:rsid w:val="009E7FA8"/>
    <w:rsid w:val="00A06065"/>
    <w:rsid w:val="00A06349"/>
    <w:rsid w:val="00A26ECE"/>
    <w:rsid w:val="00A47D74"/>
    <w:rsid w:val="00A57221"/>
    <w:rsid w:val="00A84885"/>
    <w:rsid w:val="00A85603"/>
    <w:rsid w:val="00AE350B"/>
    <w:rsid w:val="00B03CC1"/>
    <w:rsid w:val="00B30C75"/>
    <w:rsid w:val="00B34433"/>
    <w:rsid w:val="00B41925"/>
    <w:rsid w:val="00B41F37"/>
    <w:rsid w:val="00B64C6F"/>
    <w:rsid w:val="00B81737"/>
    <w:rsid w:val="00B828F7"/>
    <w:rsid w:val="00B97B46"/>
    <w:rsid w:val="00BA5429"/>
    <w:rsid w:val="00BA60B2"/>
    <w:rsid w:val="00BD5A60"/>
    <w:rsid w:val="00BD7DE2"/>
    <w:rsid w:val="00BE21F0"/>
    <w:rsid w:val="00BF2DBC"/>
    <w:rsid w:val="00BF629E"/>
    <w:rsid w:val="00C1062A"/>
    <w:rsid w:val="00C10753"/>
    <w:rsid w:val="00C16ABF"/>
    <w:rsid w:val="00C530D1"/>
    <w:rsid w:val="00C62B5C"/>
    <w:rsid w:val="00C77F73"/>
    <w:rsid w:val="00C84E13"/>
    <w:rsid w:val="00CB102F"/>
    <w:rsid w:val="00CD1872"/>
    <w:rsid w:val="00CD210A"/>
    <w:rsid w:val="00CE4206"/>
    <w:rsid w:val="00CE63C7"/>
    <w:rsid w:val="00CF3AF7"/>
    <w:rsid w:val="00CF7095"/>
    <w:rsid w:val="00D04A98"/>
    <w:rsid w:val="00D20296"/>
    <w:rsid w:val="00D219C0"/>
    <w:rsid w:val="00D23744"/>
    <w:rsid w:val="00D41B27"/>
    <w:rsid w:val="00D50B1B"/>
    <w:rsid w:val="00D55A25"/>
    <w:rsid w:val="00DA5667"/>
    <w:rsid w:val="00DE5420"/>
    <w:rsid w:val="00DF700D"/>
    <w:rsid w:val="00E5611C"/>
    <w:rsid w:val="00E71CC0"/>
    <w:rsid w:val="00E753A9"/>
    <w:rsid w:val="00EA3171"/>
    <w:rsid w:val="00EA5F51"/>
    <w:rsid w:val="00EA6212"/>
    <w:rsid w:val="00EB5D69"/>
    <w:rsid w:val="00ED268A"/>
    <w:rsid w:val="00EE4DA5"/>
    <w:rsid w:val="00EF0054"/>
    <w:rsid w:val="00EF198F"/>
    <w:rsid w:val="00EF3152"/>
    <w:rsid w:val="00EF76CC"/>
    <w:rsid w:val="00F119C6"/>
    <w:rsid w:val="00F20889"/>
    <w:rsid w:val="00F26895"/>
    <w:rsid w:val="00F3220E"/>
    <w:rsid w:val="00F53A15"/>
    <w:rsid w:val="00F636AF"/>
    <w:rsid w:val="00F774ED"/>
    <w:rsid w:val="00F84161"/>
    <w:rsid w:val="00FC6C24"/>
    <w:rsid w:val="00FD1583"/>
    <w:rsid w:val="00FD3D52"/>
    <w:rsid w:val="00FD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32"/>
    <w:pPr>
      <w:ind w:left="720"/>
      <w:contextualSpacing/>
    </w:pPr>
  </w:style>
  <w:style w:type="paragraph" w:styleId="EndnoteText">
    <w:name w:val="endnote text"/>
    <w:basedOn w:val="Normal"/>
    <w:link w:val="EndnoteTextChar"/>
    <w:uiPriority w:val="99"/>
    <w:semiHidden/>
    <w:unhideWhenUsed/>
    <w:rsid w:val="00D55A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5A25"/>
    <w:rPr>
      <w:sz w:val="20"/>
      <w:szCs w:val="20"/>
    </w:rPr>
  </w:style>
  <w:style w:type="character" w:styleId="EndnoteReference">
    <w:name w:val="endnote reference"/>
    <w:basedOn w:val="DefaultParagraphFont"/>
    <w:uiPriority w:val="99"/>
    <w:semiHidden/>
    <w:unhideWhenUsed/>
    <w:rsid w:val="00D55A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32"/>
    <w:pPr>
      <w:ind w:left="720"/>
      <w:contextualSpacing/>
    </w:pPr>
  </w:style>
  <w:style w:type="paragraph" w:styleId="EndnoteText">
    <w:name w:val="endnote text"/>
    <w:basedOn w:val="Normal"/>
    <w:link w:val="EndnoteTextChar"/>
    <w:uiPriority w:val="99"/>
    <w:semiHidden/>
    <w:unhideWhenUsed/>
    <w:rsid w:val="00D55A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5A25"/>
    <w:rPr>
      <w:sz w:val="20"/>
      <w:szCs w:val="20"/>
    </w:rPr>
  </w:style>
  <w:style w:type="character" w:styleId="EndnoteReference">
    <w:name w:val="endnote reference"/>
    <w:basedOn w:val="DefaultParagraphFont"/>
    <w:uiPriority w:val="99"/>
    <w:semiHidden/>
    <w:unhideWhenUsed/>
    <w:rsid w:val="00D55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8E108-E0BB-43D0-A5A0-E48D09B6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2015-05-04T17:17:00Z</dcterms:created>
  <dcterms:modified xsi:type="dcterms:W3CDTF">2015-05-04T17:17:00Z</dcterms:modified>
</cp:coreProperties>
</file>