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3D" w:rsidRDefault="00F31E3D" w:rsidP="00F31E3D">
      <w:pPr>
        <w:pStyle w:val="HA"/>
      </w:pPr>
      <w:r>
        <w:t>Part XII: Defined Benefit Plans – Alternate Designs</w:t>
      </w:r>
    </w:p>
    <w:p w:rsidR="00F31E3D" w:rsidRPr="00D625D8" w:rsidRDefault="00F31E3D" w:rsidP="00F31E3D">
      <w:pPr>
        <w:pStyle w:val="HB"/>
      </w:pPr>
      <w:r>
        <w:t>Cash Balance Plans</w:t>
      </w:r>
    </w:p>
    <w:p w:rsidR="00F31E3D" w:rsidRDefault="00F31E3D" w:rsidP="00F31E3D">
      <w:pPr>
        <w:pStyle w:val="QU"/>
      </w:pPr>
      <w:r w:rsidRPr="00E55F35">
        <w:t>12</w:t>
      </w:r>
      <w:r w:rsidRPr="00D625D8">
        <w:t>01</w:t>
      </w:r>
      <w:r>
        <w:t xml:space="preserve">. What </w:t>
      </w:r>
      <w:r w:rsidRPr="00473A77">
        <w:t>is</w:t>
      </w:r>
      <w:r>
        <w:t xml:space="preserve"> a cash balance plan</w:t>
      </w:r>
      <w:r w:rsidRPr="00D625D8">
        <w:t>?</w:t>
      </w:r>
    </w:p>
    <w:p w:rsidR="00CD48B8" w:rsidRDefault="00F31E3D" w:rsidP="00F31E3D">
      <w:pPr>
        <w:pStyle w:val="PA"/>
      </w:pPr>
      <w:r w:rsidRPr="00DE7090">
        <w:t xml:space="preserve">A </w:t>
      </w:r>
      <w:r>
        <w:t>cash balance plan is one</w:t>
      </w:r>
      <w:r w:rsidRPr="00DE7090">
        <w:t xml:space="preserve"> form of </w:t>
      </w:r>
      <w:r>
        <w:t xml:space="preserve">a </w:t>
      </w:r>
      <w:r w:rsidRPr="00DE7090">
        <w:t>nontraditional defined benefit plan</w:t>
      </w:r>
      <w:r>
        <w:t xml:space="preserve"> sometimes referred to as a hybrid plan</w:t>
      </w:r>
      <w:r w:rsidRPr="00DE7090">
        <w:t>. Cash balance plans were introduced in 1985 when BankAmerica Corporation adopted the first cash balance plan. These plans have been the topic of a great deal of debate in past years because several well-known public companies announced the conversion of their traditional defined benefit plans to cash balance plans. These companies were accused of age discrimination and misleading employees. The issues became so widely publicized that the</w:t>
      </w:r>
      <w:r>
        <w:t xml:space="preserve"> Internal Revenue Service</w:t>
      </w:r>
      <w:r w:rsidRPr="00DE7090">
        <w:t xml:space="preserve"> </w:t>
      </w:r>
      <w:r>
        <w:t>(</w:t>
      </w:r>
      <w:r w:rsidRPr="00DE7090">
        <w:t>IRS</w:t>
      </w:r>
      <w:r>
        <w:t>)</w:t>
      </w:r>
      <w:r w:rsidRPr="00DE7090">
        <w:t xml:space="preserve"> issued a field directive on September 15, 1999, instructing field offices to stop reviewing determination letter applications for cash balance plans. </w:t>
      </w:r>
    </w:p>
    <w:p w:rsidR="00F31E3D" w:rsidRDefault="00F31E3D" w:rsidP="00F31E3D">
      <w:pPr>
        <w:pStyle w:val="PA"/>
      </w:pPr>
      <w:r w:rsidRPr="00DE7090">
        <w:t>The Economic Growth And Tax Relief Reconciliation Act of 2001 (EGTRRA) add</w:t>
      </w:r>
      <w:r>
        <w:t>ed</w:t>
      </w:r>
      <w:r w:rsidRPr="00DE7090">
        <w:t xml:space="preserve"> additional disclosure requirements for a conversion of a traditional defined benefit plan to a cash balance plan and impose</w:t>
      </w:r>
      <w:r>
        <w:t>d</w:t>
      </w:r>
      <w:r w:rsidRPr="00DE7090">
        <w:t xml:space="preserve"> an excise tax for failure to comply. An excise tax is also imposed for failure to properly notify participants of a reduction in benefit accruals</w:t>
      </w:r>
      <w:r>
        <w:t>,</w:t>
      </w:r>
      <w:r w:rsidRPr="00DE7090">
        <w:t xml:space="preserve"> which </w:t>
      </w:r>
      <w:r>
        <w:t>t</w:t>
      </w:r>
      <w:r w:rsidRPr="00DE7090">
        <w:t>end to occur for older participants in the conversion.</w:t>
      </w:r>
      <w:r>
        <w:rPr>
          <w:rStyle w:val="FootnoteReference"/>
        </w:rPr>
        <w:footnoteReference w:id="1"/>
      </w:r>
    </w:p>
    <w:p w:rsidR="00F31E3D" w:rsidRPr="00DE7090" w:rsidRDefault="00F31E3D" w:rsidP="00F31E3D">
      <w:pPr>
        <w:pStyle w:val="PA"/>
      </w:pPr>
      <w:r w:rsidRPr="00F31E3D">
        <w:t>IRS</w:t>
      </w:r>
      <w:r w:rsidRPr="00DE7090">
        <w:t xml:space="preserve"> Notice 2007-6</w:t>
      </w:r>
      <w:r>
        <w:rPr>
          <w:rStyle w:val="FootnoteReference"/>
          <w:position w:val="7"/>
        </w:rPr>
        <w:footnoteReference w:id="2"/>
      </w:r>
      <w:r w:rsidRPr="00DE7090">
        <w:t xml:space="preserve"> provid</w:t>
      </w:r>
      <w:r>
        <w:t>es</w:t>
      </w:r>
      <w:r w:rsidRPr="00DE7090">
        <w:t xml:space="preserve"> guidance on cash balance plans and open</w:t>
      </w:r>
      <w:r>
        <w:t>ed</w:t>
      </w:r>
      <w:r w:rsidRPr="00DE7090">
        <w:t xml:space="preserve"> the determination letter program for plans that were being held for review.</w:t>
      </w:r>
      <w:r>
        <w:t xml:space="preserve"> </w:t>
      </w:r>
      <w:r w:rsidRPr="00DE7090">
        <w:t>The notice also introduce</w:t>
      </w:r>
      <w:r>
        <w:t>d</w:t>
      </w:r>
      <w:r w:rsidRPr="00DE7090">
        <w:t xml:space="preserve"> some terms</w:t>
      </w:r>
      <w:r>
        <w:t xml:space="preserve"> that apply to cash balance plans</w:t>
      </w:r>
      <w:r w:rsidRPr="00DE7090">
        <w:t>:</w:t>
      </w:r>
    </w:p>
    <w:p w:rsidR="00F31E3D" w:rsidRPr="00DE7090" w:rsidRDefault="00F31E3D" w:rsidP="00F31E3D">
      <w:pPr>
        <w:pStyle w:val="PC"/>
      </w:pPr>
      <w:r w:rsidRPr="00DE7090">
        <w:t>1.</w:t>
      </w:r>
      <w:r w:rsidRPr="00DE7090">
        <w:tab/>
        <w:t>A “statutory hybrid plan” is one that is a lump</w:t>
      </w:r>
      <w:r>
        <w:t>-</w:t>
      </w:r>
      <w:r w:rsidRPr="00DE7090">
        <w:t>sum</w:t>
      </w:r>
      <w:r>
        <w:t>-</w:t>
      </w:r>
      <w:r w:rsidRPr="00DE7090">
        <w:t>based plan, i.e.</w:t>
      </w:r>
      <w:r>
        <w:t>,</w:t>
      </w:r>
      <w:r w:rsidRPr="00DE7090">
        <w:t xml:space="preserve"> the retirement benefit is based on a theoretical lump sum.</w:t>
      </w:r>
    </w:p>
    <w:p w:rsidR="00F31E3D" w:rsidRPr="00DE7090" w:rsidRDefault="00F31E3D" w:rsidP="00F31E3D">
      <w:pPr>
        <w:pStyle w:val="PC"/>
      </w:pPr>
      <w:r w:rsidRPr="00DE7090">
        <w:t>2.</w:t>
      </w:r>
      <w:r w:rsidRPr="00DE7090">
        <w:tab/>
        <w:t>A “lump</w:t>
      </w:r>
      <w:r>
        <w:t>-</w:t>
      </w:r>
      <w:r w:rsidRPr="00DE7090">
        <w:t>sum based plan” is a defined benefit plan in which the accumulated benefit (accrued benefit) is based on the balance of a hypothetical account balance.</w:t>
      </w:r>
    </w:p>
    <w:p w:rsidR="00F31E3D" w:rsidRPr="00DE7090" w:rsidRDefault="00F31E3D" w:rsidP="00F31E3D">
      <w:pPr>
        <w:pStyle w:val="PC"/>
      </w:pPr>
      <w:r w:rsidRPr="00DE7090">
        <w:t>3.</w:t>
      </w:r>
      <w:r w:rsidRPr="00DE7090">
        <w:tab/>
      </w:r>
      <w:r>
        <w:t xml:space="preserve">The </w:t>
      </w:r>
      <w:r w:rsidRPr="00DE7090">
        <w:t>“</w:t>
      </w:r>
      <w:r>
        <w:t>a</w:t>
      </w:r>
      <w:r w:rsidRPr="00DE7090">
        <w:t>ccumulated benefit” is the participant’s accrued benefit either expressed as an annuity paid at normal retirement or the balance of a hypothetical account balance.</w:t>
      </w:r>
    </w:p>
    <w:p w:rsidR="00F31E3D" w:rsidRDefault="00F31E3D" w:rsidP="00F31E3D">
      <w:pPr>
        <w:pStyle w:val="PA"/>
      </w:pPr>
      <w:r w:rsidRPr="00B1040C">
        <w:t>A cash balance plan is a defined benefit plan that defines benefits for each participant by reference to that employee’s hypothetical account.</w:t>
      </w:r>
      <w:r>
        <w:rPr>
          <w:rStyle w:val="FootnoteReference"/>
        </w:rPr>
        <w:footnoteReference w:id="3"/>
      </w:r>
      <w:r w:rsidRPr="00B1040C">
        <w:t xml:space="preserve"> This hypothetical account is established based on contribution credits and interest credits as provided in the plan</w:t>
      </w:r>
      <w:r>
        <w:t xml:space="preserve"> document</w:t>
      </w:r>
      <w:r w:rsidRPr="00B1040C">
        <w:t>, not actual investment experience</w:t>
      </w:r>
      <w:r w:rsidR="00901C81">
        <w:t xml:space="preserve"> and not actual contributions</w:t>
      </w:r>
      <w:r w:rsidRPr="00B1040C">
        <w:t xml:space="preserve">. The </w:t>
      </w:r>
      <w:r w:rsidRPr="00F31E3D">
        <w:lastRenderedPageBreak/>
        <w:t>contribution</w:t>
      </w:r>
      <w:r w:rsidRPr="00B1040C">
        <w:t xml:space="preserve"> credits must satisfy the same nondiscrimination requirements that a defined contribution plan would be required to satisfy, i.e., the same percentage of compensation for each participant or the same dollar amount for each participant. Furthermore, the contribution credit may take permitted disparity into consideration in determining the contribution credits.</w:t>
      </w:r>
      <w:r>
        <w:rPr>
          <w:rStyle w:val="FootnoteReference"/>
        </w:rPr>
        <w:footnoteReference w:id="4"/>
      </w:r>
      <w:r w:rsidRPr="00B1040C">
        <w:t xml:space="preserve"> As an alternative the contribution credits may be determined by a different method from the safe harbor</w:t>
      </w:r>
      <w:r w:rsidR="00901C81">
        <w:t>, e.g. contribution credits based on job description as in a class allocation profit sharing plan,</w:t>
      </w:r>
      <w:r w:rsidRPr="00B1040C">
        <w:t xml:space="preserve"> but must satisfy the general test of </w:t>
      </w:r>
      <w:r>
        <w:t>Code</w:t>
      </w:r>
      <w:r w:rsidRPr="00B1040C">
        <w:t xml:space="preserve"> </w:t>
      </w:r>
      <w:r>
        <w:t>s</w:t>
      </w:r>
      <w:r w:rsidRPr="00B1040C">
        <w:t>ection 401(a)(4).</w:t>
      </w:r>
      <w:r>
        <w:rPr>
          <w:rStyle w:val="FootnoteReference"/>
        </w:rPr>
        <w:footnoteReference w:id="5"/>
      </w:r>
    </w:p>
    <w:p w:rsidR="00F03143" w:rsidRPr="00903874" w:rsidRDefault="00F03143" w:rsidP="002E6784">
      <w:pPr>
        <w:pStyle w:val="QU"/>
      </w:pPr>
      <w:r w:rsidRPr="00903874">
        <w:t>1202</w:t>
      </w:r>
      <w:r>
        <w:t xml:space="preserve">. </w:t>
      </w:r>
      <w:r w:rsidRPr="00903874">
        <w:t>How are contribution credits determined in a cash balance plan?</w:t>
      </w:r>
    </w:p>
    <w:p w:rsidR="00F03143" w:rsidRDefault="00F03143" w:rsidP="002E6784">
      <w:pPr>
        <w:pStyle w:val="PA"/>
      </w:pPr>
      <w:r w:rsidRPr="00B1040C">
        <w:t xml:space="preserve">The </w:t>
      </w:r>
      <w:r w:rsidRPr="00903874">
        <w:t>amount</w:t>
      </w:r>
      <w:r w:rsidRPr="00B1040C">
        <w:t xml:space="preserve"> of the contribution credits </w:t>
      </w:r>
      <w:r>
        <w:t>can be</w:t>
      </w:r>
      <w:r w:rsidRPr="00B1040C">
        <w:t xml:space="preserve"> based on </w:t>
      </w:r>
      <w:r w:rsidR="002E6784">
        <w:t>the following:</w:t>
      </w:r>
    </w:p>
    <w:p w:rsidR="00F03143" w:rsidRPr="00903874" w:rsidRDefault="00F03143" w:rsidP="00F03143">
      <w:pPr>
        <w:pStyle w:val="PCB"/>
        <w:numPr>
          <w:ilvl w:val="0"/>
          <w:numId w:val="7"/>
        </w:numPr>
        <w:ind w:left="720"/>
      </w:pPr>
      <w:r w:rsidRPr="00903874">
        <w:t xml:space="preserve"> the employer’s retirement income replacement targets for the employees</w:t>
      </w:r>
    </w:p>
    <w:p w:rsidR="00F03143" w:rsidRPr="00903874" w:rsidRDefault="00F03143" w:rsidP="00F03143">
      <w:pPr>
        <w:pStyle w:val="PCB"/>
        <w:numPr>
          <w:ilvl w:val="0"/>
          <w:numId w:val="7"/>
        </w:numPr>
        <w:ind w:left="720"/>
      </w:pPr>
      <w:r w:rsidRPr="00903874">
        <w:t xml:space="preserve"> the benefit being provided in the current plan, if any, that is being replaced</w:t>
      </w:r>
    </w:p>
    <w:p w:rsidR="00F03143" w:rsidRPr="00903874" w:rsidRDefault="00F03143" w:rsidP="00F03143">
      <w:pPr>
        <w:pStyle w:val="PCB"/>
        <w:numPr>
          <w:ilvl w:val="0"/>
          <w:numId w:val="7"/>
        </w:numPr>
        <w:ind w:left="720"/>
      </w:pPr>
      <w:r w:rsidRPr="00903874">
        <w:t xml:space="preserve"> benefits available from other plans, such as 401(k)s</w:t>
      </w:r>
    </w:p>
    <w:p w:rsidR="00F03143" w:rsidRPr="00903874" w:rsidRDefault="00F03143" w:rsidP="00F03143">
      <w:pPr>
        <w:pStyle w:val="PCB"/>
        <w:numPr>
          <w:ilvl w:val="0"/>
          <w:numId w:val="7"/>
        </w:numPr>
        <w:ind w:left="720"/>
      </w:pPr>
      <w:r w:rsidRPr="00903874">
        <w:t xml:space="preserve"> grandfather provisions guaranteeing prior benefits to employees closer to retirement</w:t>
      </w:r>
    </w:p>
    <w:p w:rsidR="00F03143" w:rsidRPr="00903874" w:rsidRDefault="00B60513" w:rsidP="00F03143">
      <w:pPr>
        <w:pStyle w:val="PCB"/>
        <w:numPr>
          <w:ilvl w:val="0"/>
          <w:numId w:val="7"/>
        </w:numPr>
        <w:ind w:left="720"/>
      </w:pPr>
      <w:r>
        <w:t>If there</w:t>
      </w:r>
      <w:r w:rsidR="00F03143" w:rsidRPr="00903874">
        <w:t xml:space="preserve"> </w:t>
      </w:r>
      <w:r>
        <w:t>is</w:t>
      </w:r>
      <w:r w:rsidR="00F03143" w:rsidRPr="00903874">
        <w:t xml:space="preserve"> a minimum benefit?</w:t>
      </w:r>
    </w:p>
    <w:p w:rsidR="00F03143" w:rsidRPr="00903874" w:rsidRDefault="00F03143" w:rsidP="00F03143">
      <w:pPr>
        <w:pStyle w:val="PCB"/>
        <w:numPr>
          <w:ilvl w:val="0"/>
          <w:numId w:val="7"/>
        </w:numPr>
        <w:ind w:left="720"/>
      </w:pPr>
      <w:r w:rsidRPr="00903874">
        <w:t xml:space="preserve"> cost levels are acceptable to the employer to provide retirement benefits</w:t>
      </w:r>
    </w:p>
    <w:p w:rsidR="00F03143" w:rsidRPr="00B1040C" w:rsidRDefault="00B60513" w:rsidP="00F03143">
      <w:pPr>
        <w:pStyle w:val="PCB"/>
        <w:numPr>
          <w:ilvl w:val="0"/>
          <w:numId w:val="7"/>
        </w:numPr>
        <w:ind w:left="720"/>
      </w:pPr>
      <w:r>
        <w:t>what</w:t>
      </w:r>
      <w:r w:rsidR="00F03143" w:rsidRPr="00903874">
        <w:t xml:space="preserve"> other employers in the same industry offer their employees</w:t>
      </w:r>
    </w:p>
    <w:p w:rsidR="00F03143" w:rsidRDefault="00F03143" w:rsidP="002E6784">
      <w:pPr>
        <w:pStyle w:val="PA"/>
      </w:pPr>
      <w:r w:rsidRPr="00EB75BC">
        <w:t>In addition to the basic contribution credits, the plan sponsor may offer early retirement supplements. This can be accomplished by increasing the account balance of an employee electing early retirement by a stated percentage, or by increasing annuity purchase rates (providing a higher income per dollar of account balance) to supplement early retirement benefits. The employer may increase opening balances for older employees to make up for lower accrual (contribution) rates in the cash balance plan or offer higher contribution credits for older employees. Some companies may increase their contribution to savings plans, e.g., 401(k) plans, to make up part of the reduced accruals in the cash balance plan.</w:t>
      </w:r>
    </w:p>
    <w:p w:rsidR="00F03143" w:rsidRPr="007E799B" w:rsidRDefault="00F03143" w:rsidP="007E799B"/>
    <w:p w:rsidR="00F03143" w:rsidRPr="00C31081" w:rsidRDefault="00F03143" w:rsidP="002E6784">
      <w:pPr>
        <w:pStyle w:val="QU"/>
      </w:pPr>
      <w:r w:rsidRPr="00C31081">
        <w:t>1203</w:t>
      </w:r>
      <w:r>
        <w:t xml:space="preserve">. </w:t>
      </w:r>
      <w:r w:rsidRPr="00C31081">
        <w:t>What is a “safe harbor” cash balance plan?</w:t>
      </w:r>
    </w:p>
    <w:p w:rsidR="00F03143" w:rsidRDefault="00F03143" w:rsidP="002E6784">
      <w:pPr>
        <w:pStyle w:val="PA"/>
      </w:pPr>
      <w:r w:rsidRPr="00EB75BC">
        <w:t xml:space="preserve">In a </w:t>
      </w:r>
      <w:r w:rsidRPr="00473A77">
        <w:rPr>
          <w:i/>
        </w:rPr>
        <w:t>safe harbor cash balance plan</w:t>
      </w:r>
      <w:r w:rsidRPr="00EB75BC">
        <w:t>, the following requirements must be met:</w:t>
      </w:r>
    </w:p>
    <w:p w:rsidR="00F03143" w:rsidRPr="00C31081" w:rsidRDefault="00F03143" w:rsidP="002E6784">
      <w:pPr>
        <w:pStyle w:val="PC"/>
      </w:pPr>
      <w:r>
        <w:lastRenderedPageBreak/>
        <w:t>1.</w:t>
      </w:r>
      <w:r>
        <w:tab/>
      </w:r>
      <w:r w:rsidRPr="00C31081">
        <w:t>The plan is an “accumulation” plan: It is a defined benefit plan under which each employee’s benefit for the plan year is separately determined using plan year compensation separately calculated for the plan year rather than projecting benefits. The employee’s total accrued benefit as of the end of a plan year is the sum of the separately determined benefits for that year and all earlier years.</w:t>
      </w:r>
    </w:p>
    <w:p w:rsidR="00F03143" w:rsidRDefault="00F03143" w:rsidP="002E6784">
      <w:pPr>
        <w:pStyle w:val="PC"/>
      </w:pPr>
      <w:r>
        <w:t>2.</w:t>
      </w:r>
      <w:r>
        <w:tab/>
      </w:r>
      <w:r w:rsidRPr="00C31081">
        <w:t>The hypothetical allocation for the plan year must be determined with one of two formulas: one that would satisfy the safe harbor for a defined contribution plan with a uniform allocation formula, or one that would satisfy the general test under Code section 401(a)(4) for nondiscrimination in the amount of contributions.</w:t>
      </w:r>
    </w:p>
    <w:p w:rsidR="00F03143" w:rsidRDefault="00F03143" w:rsidP="002E6784">
      <w:pPr>
        <w:pStyle w:val="PE"/>
      </w:pPr>
      <w:r w:rsidRPr="00C31081">
        <w:t>Interest adjustments to the hypothetical accounts must be made at least annually until normal retirement age. No precondition, such as continued employment, may be imposed.</w:t>
      </w:r>
    </w:p>
    <w:p w:rsidR="00F03143" w:rsidRDefault="00F03143" w:rsidP="002E6784">
      <w:pPr>
        <w:pStyle w:val="PE"/>
      </w:pPr>
      <w:r w:rsidRPr="00C31081">
        <w:t>The interest rate must be the same for all employees for all plan years. It may be a “standard” fixed interest rate, e.g., 7.5 percent to 8.5 percent</w:t>
      </w:r>
      <w:r w:rsidR="002E6784">
        <w:rPr>
          <w:rStyle w:val="FootnoteReference"/>
        </w:rPr>
        <w:footnoteReference w:id="6"/>
      </w:r>
      <w:r w:rsidRPr="00C31081">
        <w:t xml:space="preserve"> or it may be a variable rate. If a variable rate is used, it is assumed that the current variable rate will be the same for all future years until retirement age. As an alternative, an average of several prior periods, not to exceed five, may be used</w:t>
      </w:r>
      <w:r w:rsidRPr="00473A77">
        <w:t>.</w:t>
      </w:r>
    </w:p>
    <w:p w:rsidR="00F03143" w:rsidRPr="00473A77" w:rsidRDefault="00F03143" w:rsidP="002E6784">
      <w:pPr>
        <w:pStyle w:val="PC"/>
      </w:pPr>
      <w:r>
        <w:t>3.</w:t>
      </w:r>
      <w:r>
        <w:tab/>
      </w:r>
      <w:r w:rsidRPr="00473A77">
        <w:t>A variable rate may be subject to a cap or a floor. If a variable rate is used, the most common permissible references are:</w:t>
      </w:r>
      <w:r w:rsidR="002E6784">
        <w:rPr>
          <w:rStyle w:val="FootnoteReference"/>
        </w:rPr>
        <w:footnoteReference w:id="7"/>
      </w:r>
      <w:r w:rsidR="00901C81">
        <w:rPr>
          <w:vertAlign w:val="superscript"/>
        </w:rPr>
        <w:t xml:space="preserve"> </w:t>
      </w:r>
    </w:p>
    <w:p w:rsidR="00F03143" w:rsidRPr="00473A77" w:rsidRDefault="00F03143" w:rsidP="002E6784">
      <w:pPr>
        <w:pStyle w:val="PF"/>
      </w:pPr>
      <w:r>
        <w:t>a.</w:t>
      </w:r>
      <w:r>
        <w:tab/>
      </w:r>
      <w:r w:rsidRPr="00F657FB">
        <w:t>t</w:t>
      </w:r>
      <w:r w:rsidRPr="00C75790">
        <w:t>hree-month treasury bills;</w:t>
      </w:r>
    </w:p>
    <w:p w:rsidR="00F03143" w:rsidRPr="00473A77" w:rsidRDefault="00F03143" w:rsidP="002E6784">
      <w:pPr>
        <w:pStyle w:val="PF"/>
      </w:pPr>
      <w:r>
        <w:t>b.</w:t>
      </w:r>
      <w:r>
        <w:tab/>
      </w:r>
      <w:r w:rsidRPr="00473A77">
        <w:t>six-month treasury bills;</w:t>
      </w:r>
    </w:p>
    <w:p w:rsidR="00F03143" w:rsidRPr="00473A77" w:rsidRDefault="00F03143" w:rsidP="002E6784">
      <w:pPr>
        <w:pStyle w:val="PF"/>
      </w:pPr>
      <w:r>
        <w:t>c.</w:t>
      </w:r>
      <w:r>
        <w:tab/>
      </w:r>
      <w:r w:rsidRPr="00473A77">
        <w:t>one-year treasury bills;</w:t>
      </w:r>
    </w:p>
    <w:p w:rsidR="00F03143" w:rsidRPr="00473A77" w:rsidRDefault="00F03143" w:rsidP="002E6784">
      <w:pPr>
        <w:pStyle w:val="PF"/>
      </w:pPr>
      <w:r>
        <w:t>d.</w:t>
      </w:r>
      <w:r>
        <w:tab/>
      </w:r>
      <w:r w:rsidRPr="00473A77">
        <w:t>the yield on one-year treasury constant maturities;</w:t>
      </w:r>
    </w:p>
    <w:p w:rsidR="00F03143" w:rsidRPr="00473A77" w:rsidRDefault="00F03143" w:rsidP="002E6784">
      <w:pPr>
        <w:pStyle w:val="PF"/>
      </w:pPr>
      <w:r>
        <w:t>e.</w:t>
      </w:r>
      <w:r>
        <w:tab/>
      </w:r>
      <w:r w:rsidRPr="00473A77">
        <w:t>the yield on two-year treasury constant maturities;</w:t>
      </w:r>
    </w:p>
    <w:p w:rsidR="00F03143" w:rsidRPr="00473A77" w:rsidRDefault="00F03143" w:rsidP="002E6784">
      <w:pPr>
        <w:pStyle w:val="PF"/>
      </w:pPr>
      <w:r>
        <w:t>f.</w:t>
      </w:r>
      <w:r>
        <w:tab/>
      </w:r>
      <w:r w:rsidRPr="00473A77">
        <w:t>the yield on five-year treasury constant maturities;</w:t>
      </w:r>
    </w:p>
    <w:p w:rsidR="00F03143" w:rsidRPr="00473A77" w:rsidRDefault="00F03143" w:rsidP="002E6784">
      <w:pPr>
        <w:pStyle w:val="PF"/>
      </w:pPr>
      <w:r>
        <w:t>g.</w:t>
      </w:r>
      <w:r>
        <w:tab/>
      </w:r>
      <w:r w:rsidRPr="00473A77">
        <w:t>the yield on ten-year treasury constant maturities; and</w:t>
      </w:r>
    </w:p>
    <w:p w:rsidR="00F03143" w:rsidRPr="00473A77" w:rsidRDefault="00F03143" w:rsidP="002E6784">
      <w:pPr>
        <w:pStyle w:val="PF"/>
      </w:pPr>
      <w:r>
        <w:t>h.</w:t>
      </w:r>
      <w:r>
        <w:tab/>
      </w:r>
      <w:r w:rsidRPr="00473A77">
        <w:t>the yield on thirty-year treasury constant maturities.</w:t>
      </w:r>
    </w:p>
    <w:p w:rsidR="00F03143" w:rsidRPr="00473A77" w:rsidRDefault="008030B2" w:rsidP="002E6784">
      <w:pPr>
        <w:pStyle w:val="PE"/>
      </w:pPr>
      <w:r>
        <w:rPr>
          <w:noProof/>
        </w:rPr>
        <mc:AlternateContent>
          <mc:Choice Requires="wps">
            <w:drawing>
              <wp:anchor distT="0" distB="0" distL="114300" distR="114300" simplePos="0" relativeHeight="251660288" behindDoc="0" locked="0" layoutInCell="1" allowOverlap="1" wp14:anchorId="2D83AD9B" wp14:editId="2FA7DB9E">
                <wp:simplePos x="0" y="0"/>
                <wp:positionH relativeFrom="column">
                  <wp:posOffset>2084705</wp:posOffset>
                </wp:positionH>
                <wp:positionV relativeFrom="paragraph">
                  <wp:posOffset>1724025</wp:posOffset>
                </wp:positionV>
                <wp:extent cx="2178050" cy="245745"/>
                <wp:effectExtent l="6985" t="9525"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45745"/>
                        </a:xfrm>
                        <a:prstGeom prst="rect">
                          <a:avLst/>
                        </a:prstGeom>
                        <a:solidFill>
                          <a:srgbClr val="FFFFFF"/>
                        </a:solidFill>
                        <a:ln w="9525">
                          <a:solidFill>
                            <a:srgbClr val="000000"/>
                          </a:solidFill>
                          <a:miter lim="800000"/>
                          <a:headEnd/>
                          <a:tailEnd/>
                        </a:ln>
                      </wps:spPr>
                      <wps:txbx>
                        <w:txbxContent>
                          <w:p w:rsidR="002E6784" w:rsidRDefault="002E678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15pt;margin-top:135.75pt;width:171.5pt;height:19.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hdJwIAAFAEAAAOAAAAZHJzL2Uyb0RvYy54bWysVNtu2zAMfR+wfxD0vtgxkrU14hRdugwD&#10;um5Auw+QZTkWptsoJXb29aNkJ8tuL8P8IJAidUgekl7dDlqRgwAvranofJZTIgy3jTS7in5+3r66&#10;psQHZhqmrBEVPQpPb9cvX6x6V4rCdlY1AgiCGF/2rqJdCK7MMs87oZmfWScMGlsLmgVUYZc1wHpE&#10;1yor8vx11ltoHFguvMfb+9FI1wm/bQUPH9vWi0BURTG3kE5IZx3PbL1i5Q6Y6ySf0mD/kIVm0mDQ&#10;M9Q9C4zsQf4GpSUH620bZtzqzLat5CLVgNXM81+qeeqYE6kWJMe7M03+/8Hyx8MnILKp6IISwzS2&#10;6FkMgbyxAykiO73zJTo9OXQLA15jl1Ol3j1Y/sUTYzcdMztxB2D7TrAGs5vHl9nF0xHHR5C6/2Ab&#10;DMP2wSagoQUdqUMyCKJjl47nzsRUOF4W86vrfIkmjrZisbxaLFMIVp5eO/DhnbCaRKGigJ1P6Ozw&#10;4EPMhpUnlxjMWyWbrVQqKbCrNwrIgeGUbNM3of/kpgzpK3qzLJYjAX+FyNP3JwgtA467krqi12cn&#10;Vkba3pomDWNgUo0ypqzMxGOkbiQxDPUw9aW2zREZBTuONa4hCp2Fb5T0ONIV9V/3DAQl6r3BrtzM&#10;F4u4A0lBDgtU4NJSX1qY4QhV0UDJKG7CuDd7B3LXYaTTHNxhJ7cykRxbPmY15Y1jm7ifVizuxaWe&#10;vH78CNbfAQAA//8DAFBLAwQUAAYACAAAACEALLGk198AAAALAQAADwAAAGRycy9kb3ducmV2Lnht&#10;bEyPy07DMBBF90j8gzVI7KgTF9IqjVNVEWwrtUViO43dJOBHiJ00/D3Dii5n7tGdM8V2toZNegid&#10;dxLSRQJMu9qrzjUS3k9vT2tgIaJTaLzTEn50gG15f1dgrvzVHfR0jA2jEhdylNDG2Oech7rVFsPC&#10;99pRdvGDxUjj0HA14JXKreEiSTJusXN0ocVeV62uv46jlTCeqt10qMTnx7RXz/vsFS2abykfH+bd&#10;BljUc/yH4U+f1KEkp7MfnQrMSFiK9ZJQCWKVvgAjIlultDlTlCYCeFnw2x/KXwAAAP//AwBQSwEC&#10;LQAUAAYACAAAACEAtoM4kv4AAADhAQAAEwAAAAAAAAAAAAAAAAAAAAAAW0NvbnRlbnRfVHlwZXNd&#10;LnhtbFBLAQItABQABgAIAAAAIQA4/SH/1gAAAJQBAAALAAAAAAAAAAAAAAAAAC8BAABfcmVscy8u&#10;cmVsc1BLAQItABQABgAIAAAAIQCZ98hdJwIAAFAEAAAOAAAAAAAAAAAAAAAAAC4CAABkcnMvZTJv&#10;RG9jLnhtbFBLAQItABQABgAIAAAAIQAssaTX3wAAAAsBAAAPAAAAAAAAAAAAAAAAAIEEAABkcnMv&#10;ZG93bnJldi54bWxQSwUGAAAAAAQABADzAAAAjQUAAAAA&#10;">
                <v:textbox style="mso-fit-shape-to-text:t">
                  <w:txbxContent>
                    <w:p w:rsidR="002E6784" w:rsidRDefault="002E6784"/>
                  </w:txbxContent>
                </v:textbox>
              </v:shape>
            </w:pict>
          </mc:Fallback>
        </mc:AlternateContent>
      </w:r>
      <w:r w:rsidR="00F03143" w:rsidRPr="00473A77">
        <w:t xml:space="preserve">The current value of the hypothetical account at any time must equal the sum of all hypothetical allocations and interest adjustments. The projected value at normal retirement age is the sum of hypothetical allocations already provided plus interest adjustments provided through normal retirement age. The projected value </w:t>
      </w:r>
      <w:r w:rsidR="00F03143" w:rsidRPr="00473A77">
        <w:lastRenderedPageBreak/>
        <w:t>at normal retirement of an employee’s hypothetical account is used to determine the employee’s accrued benefit as of any age before normal retirement age. The hypothetical value at retirement is then converted to an annuity using standard mortality tables.</w:t>
      </w:r>
    </w:p>
    <w:p w:rsidR="00F03143" w:rsidRPr="00473A77" w:rsidRDefault="00F03143" w:rsidP="002E6784">
      <w:pPr>
        <w:pStyle w:val="PC"/>
      </w:pPr>
      <w:r>
        <w:t>5.</w:t>
      </w:r>
      <w:r>
        <w:tab/>
      </w:r>
      <w:r w:rsidRPr="00473A77">
        <w:t xml:space="preserve">An employee’s accrued benefit is defined as an annuity at normal retirement age that is the actuarial equivalent of the hypothetical account as of normal retirement age. </w:t>
      </w:r>
    </w:p>
    <w:p w:rsidR="00F03143" w:rsidRPr="00473A77" w:rsidRDefault="00F03143" w:rsidP="002E6784">
      <w:pPr>
        <w:pStyle w:val="PC"/>
      </w:pPr>
      <w:r>
        <w:t>6.</w:t>
      </w:r>
      <w:r>
        <w:tab/>
      </w:r>
      <w:r w:rsidRPr="00473A77">
        <w:t>Each subsidized optional form of benefit must be available to all employees, e.g., early retirement.</w:t>
      </w:r>
    </w:p>
    <w:p w:rsidR="00F03143" w:rsidRPr="00473A77" w:rsidRDefault="00F03143" w:rsidP="002E6784">
      <w:pPr>
        <w:pStyle w:val="PC"/>
      </w:pPr>
      <w:r>
        <w:t>7.</w:t>
      </w:r>
      <w:r>
        <w:tab/>
      </w:r>
      <w:r w:rsidRPr="00473A77">
        <w:t>Past service credit may be granted, but only uniformly to all employees.</w:t>
      </w:r>
    </w:p>
    <w:p w:rsidR="00F03143" w:rsidRPr="00473A77" w:rsidRDefault="00F03143" w:rsidP="002E6784">
      <w:pPr>
        <w:pStyle w:val="PC"/>
      </w:pPr>
      <w:r>
        <w:t>8.</w:t>
      </w:r>
      <w:r>
        <w:tab/>
      </w:r>
      <w:r w:rsidRPr="00473A77">
        <w:t>Employees beyond normal retirement age must continue to be credited with interest adjustments to their hypothetical accounts and have their accrued benefits adjusted accordingly.</w:t>
      </w:r>
    </w:p>
    <w:p w:rsidR="00F03143" w:rsidRPr="00473A77" w:rsidRDefault="00F03143" w:rsidP="002E6784">
      <w:pPr>
        <w:pStyle w:val="PC"/>
      </w:pPr>
      <w:r>
        <w:t>9.</w:t>
      </w:r>
      <w:r>
        <w:tab/>
      </w:r>
      <w:r w:rsidRPr="00473A77">
        <w:t>Uniformity as to vesting and service requirements is required, and no employee contributions are allowed.</w:t>
      </w:r>
    </w:p>
    <w:p w:rsidR="00F03143" w:rsidRPr="00473A77" w:rsidRDefault="00F03143" w:rsidP="002E6784">
      <w:pPr>
        <w:pStyle w:val="PC"/>
      </w:pPr>
      <w:r>
        <w:t>10.</w:t>
      </w:r>
      <w:r>
        <w:tab/>
      </w:r>
      <w:r w:rsidRPr="00473A77">
        <w:t>Changes in benefit formula, allocation formula, or interest rates may be made for plan years after a fresh-start date. This is essentially the same concept as in a traditional defined benefit plan requiring that the accrued benefit be maintained as of the date of a change in benefits and future benefits to accrue at the new rate. The fresh-start date is the effective date of the change.</w:t>
      </w:r>
    </w:p>
    <w:p w:rsidR="00F03143" w:rsidRPr="007E799B" w:rsidRDefault="00F03143" w:rsidP="007E799B"/>
    <w:p w:rsidR="00F03143" w:rsidRPr="00D947BA" w:rsidRDefault="00F03143" w:rsidP="002E6784">
      <w:pPr>
        <w:pStyle w:val="QU"/>
      </w:pPr>
      <w:r w:rsidRPr="00D947BA">
        <w:t>1204</w:t>
      </w:r>
      <w:r>
        <w:t xml:space="preserve">. </w:t>
      </w:r>
      <w:r w:rsidRPr="00D947BA">
        <w:t>How is a cash balance plan funded?</w:t>
      </w:r>
    </w:p>
    <w:p w:rsidR="00F03143" w:rsidRDefault="00F03143" w:rsidP="002E6784">
      <w:pPr>
        <w:pStyle w:val="PA"/>
      </w:pPr>
      <w:r w:rsidRPr="00152096">
        <w:t xml:space="preserve">The actual funding of the cash balance plan is based on the projected benefit, as in a traditional </w:t>
      </w:r>
      <w:r w:rsidRPr="00D947BA">
        <w:t>defined</w:t>
      </w:r>
      <w:r w:rsidRPr="00152096">
        <w:t xml:space="preserve"> benefit plan. T</w:t>
      </w:r>
      <w:r>
        <w:t xml:space="preserve">he following example </w:t>
      </w:r>
      <w:r w:rsidRPr="00152096">
        <w:t>illustrate</w:t>
      </w:r>
      <w:r>
        <w:t>s</w:t>
      </w:r>
      <w:r w:rsidRPr="00152096">
        <w:t xml:space="preserve"> the differences</w:t>
      </w:r>
      <w:r>
        <w:t>.</w:t>
      </w:r>
    </w:p>
    <w:p w:rsidR="00F03143" w:rsidRPr="00ED6BF0" w:rsidRDefault="00F03143" w:rsidP="002E6784">
      <w:pPr>
        <w:pStyle w:val="PN"/>
      </w:pPr>
      <w:r w:rsidRPr="00473A77">
        <w:rPr>
          <w:i/>
        </w:rPr>
        <w:t>Example.</w:t>
      </w:r>
      <w:r>
        <w:t xml:space="preserve"> </w:t>
      </w:r>
      <w:r w:rsidRPr="006546FD">
        <w:t xml:space="preserve">The </w:t>
      </w:r>
      <w:r>
        <w:t xml:space="preserve">following </w:t>
      </w:r>
      <w:r w:rsidRPr="006546FD">
        <w:t xml:space="preserve">data </w:t>
      </w:r>
      <w:r>
        <w:t xml:space="preserve">provided </w:t>
      </w:r>
      <w:r w:rsidRPr="006546FD">
        <w:t>for</w:t>
      </w:r>
      <w:r>
        <w:t xml:space="preserve"> the</w:t>
      </w:r>
      <w:r w:rsidRPr="006546FD">
        <w:t xml:space="preserve"> three employees is used to illustrate the differences between cash balance plans and traditional defined benefit plans:</w:t>
      </w:r>
    </w:p>
    <w:tbl>
      <w:tblPr>
        <w:tblW w:w="0" w:type="auto"/>
        <w:jc w:val="center"/>
        <w:tblLook w:val="04A0" w:firstRow="1" w:lastRow="0" w:firstColumn="1" w:lastColumn="0" w:noHBand="0" w:noVBand="1"/>
      </w:tblPr>
      <w:tblGrid>
        <w:gridCol w:w="1980"/>
        <w:gridCol w:w="1170"/>
        <w:gridCol w:w="1170"/>
        <w:gridCol w:w="1278"/>
      </w:tblGrid>
      <w:tr w:rsidR="00F03143" w:rsidRPr="00243FCA" w:rsidTr="002E6784">
        <w:trPr>
          <w:trHeight w:val="547"/>
          <w:jc w:val="center"/>
        </w:trPr>
        <w:tc>
          <w:tcPr>
            <w:tcW w:w="1980" w:type="dxa"/>
            <w:shd w:val="clear" w:color="auto" w:fill="auto"/>
          </w:tcPr>
          <w:p w:rsidR="00F03143" w:rsidRPr="00243FCA" w:rsidRDefault="00F03143" w:rsidP="002E6784"/>
        </w:tc>
        <w:tc>
          <w:tcPr>
            <w:tcW w:w="1170" w:type="dxa"/>
            <w:shd w:val="clear" w:color="auto" w:fill="auto"/>
            <w:vAlign w:val="bottom"/>
          </w:tcPr>
          <w:p w:rsidR="00F03143" w:rsidRPr="00243FCA" w:rsidRDefault="00F03143" w:rsidP="002E6784">
            <w:pPr>
              <w:jc w:val="center"/>
              <w:rPr>
                <w:i/>
              </w:rPr>
            </w:pPr>
            <w:r w:rsidRPr="00243FCA">
              <w:rPr>
                <w:i/>
              </w:rPr>
              <w:t>Salary</w:t>
            </w:r>
          </w:p>
        </w:tc>
        <w:tc>
          <w:tcPr>
            <w:tcW w:w="1170" w:type="dxa"/>
            <w:shd w:val="clear" w:color="auto" w:fill="auto"/>
            <w:vAlign w:val="bottom"/>
          </w:tcPr>
          <w:p w:rsidR="00F03143" w:rsidRPr="00243FCA" w:rsidRDefault="00F03143" w:rsidP="002E6784">
            <w:pPr>
              <w:jc w:val="center"/>
              <w:rPr>
                <w:i/>
              </w:rPr>
            </w:pPr>
            <w:r w:rsidRPr="00243FCA">
              <w:rPr>
                <w:i/>
              </w:rPr>
              <w:t>Age</w:t>
            </w:r>
          </w:p>
        </w:tc>
        <w:tc>
          <w:tcPr>
            <w:tcW w:w="1278" w:type="dxa"/>
            <w:shd w:val="clear" w:color="auto" w:fill="auto"/>
            <w:vAlign w:val="bottom"/>
          </w:tcPr>
          <w:p w:rsidR="00F03143" w:rsidRPr="00243FCA" w:rsidRDefault="00F03143" w:rsidP="002E6784">
            <w:pPr>
              <w:jc w:val="center"/>
              <w:rPr>
                <w:i/>
              </w:rPr>
            </w:pPr>
            <w:r w:rsidRPr="00243FCA">
              <w:rPr>
                <w:i/>
              </w:rPr>
              <w:t>Retirement</w:t>
            </w:r>
          </w:p>
          <w:p w:rsidR="00F03143" w:rsidRPr="00243FCA" w:rsidRDefault="00F03143" w:rsidP="002E6784">
            <w:pPr>
              <w:jc w:val="center"/>
              <w:rPr>
                <w:i/>
              </w:rPr>
            </w:pPr>
            <w:r w:rsidRPr="00243FCA">
              <w:rPr>
                <w:i/>
              </w:rPr>
              <w:t>Age</w:t>
            </w:r>
          </w:p>
        </w:tc>
      </w:tr>
      <w:tr w:rsidR="00F03143" w:rsidRPr="00243FCA" w:rsidTr="002E6784">
        <w:trPr>
          <w:jc w:val="center"/>
        </w:trPr>
        <w:tc>
          <w:tcPr>
            <w:tcW w:w="1980" w:type="dxa"/>
            <w:shd w:val="clear" w:color="auto" w:fill="auto"/>
          </w:tcPr>
          <w:p w:rsidR="00F03143" w:rsidRPr="00243FCA" w:rsidRDefault="00F03143" w:rsidP="002E6784">
            <w:r w:rsidRPr="00243FCA">
              <w:t>Employee 1</w:t>
            </w:r>
          </w:p>
        </w:tc>
        <w:tc>
          <w:tcPr>
            <w:tcW w:w="1170" w:type="dxa"/>
            <w:shd w:val="clear" w:color="auto" w:fill="auto"/>
            <w:vAlign w:val="bottom"/>
          </w:tcPr>
          <w:p w:rsidR="00F03143" w:rsidRPr="00243FCA" w:rsidRDefault="00F03143" w:rsidP="002E6784">
            <w:pPr>
              <w:ind w:right="134"/>
              <w:jc w:val="right"/>
            </w:pPr>
            <w:r w:rsidRPr="00243FCA">
              <w:t>$ 25,000</w:t>
            </w:r>
          </w:p>
        </w:tc>
        <w:tc>
          <w:tcPr>
            <w:tcW w:w="1170" w:type="dxa"/>
            <w:shd w:val="clear" w:color="auto" w:fill="auto"/>
            <w:vAlign w:val="bottom"/>
          </w:tcPr>
          <w:p w:rsidR="00F03143" w:rsidRPr="00243FCA" w:rsidRDefault="00F03143" w:rsidP="002E6784">
            <w:pPr>
              <w:jc w:val="center"/>
            </w:pPr>
            <w:r w:rsidRPr="00243FCA">
              <w:t>30</w:t>
            </w:r>
          </w:p>
        </w:tc>
        <w:tc>
          <w:tcPr>
            <w:tcW w:w="1278" w:type="dxa"/>
            <w:shd w:val="clear" w:color="auto" w:fill="auto"/>
            <w:vAlign w:val="bottom"/>
          </w:tcPr>
          <w:p w:rsidR="00F03143" w:rsidRPr="00243FCA" w:rsidRDefault="00F03143" w:rsidP="002E6784">
            <w:pPr>
              <w:jc w:val="center"/>
            </w:pPr>
            <w:r w:rsidRPr="00243FCA">
              <w:t>65</w:t>
            </w:r>
          </w:p>
        </w:tc>
      </w:tr>
      <w:tr w:rsidR="00F03143" w:rsidRPr="00243FCA" w:rsidTr="002E6784">
        <w:trPr>
          <w:jc w:val="center"/>
        </w:trPr>
        <w:tc>
          <w:tcPr>
            <w:tcW w:w="1980" w:type="dxa"/>
            <w:shd w:val="clear" w:color="auto" w:fill="auto"/>
          </w:tcPr>
          <w:p w:rsidR="00F03143" w:rsidRPr="00243FCA" w:rsidRDefault="00F03143" w:rsidP="002E6784">
            <w:r w:rsidRPr="00243FCA">
              <w:t>Employee 2</w:t>
            </w:r>
          </w:p>
        </w:tc>
        <w:tc>
          <w:tcPr>
            <w:tcW w:w="1170" w:type="dxa"/>
            <w:shd w:val="clear" w:color="auto" w:fill="auto"/>
            <w:vAlign w:val="bottom"/>
          </w:tcPr>
          <w:p w:rsidR="00F03143" w:rsidRPr="00243FCA" w:rsidRDefault="00F03143" w:rsidP="002E6784">
            <w:pPr>
              <w:ind w:right="134"/>
              <w:jc w:val="right"/>
            </w:pPr>
            <w:r w:rsidRPr="00243FCA">
              <w:t>$ 35,000</w:t>
            </w:r>
          </w:p>
        </w:tc>
        <w:tc>
          <w:tcPr>
            <w:tcW w:w="1170" w:type="dxa"/>
            <w:shd w:val="clear" w:color="auto" w:fill="auto"/>
            <w:vAlign w:val="bottom"/>
          </w:tcPr>
          <w:p w:rsidR="00F03143" w:rsidRPr="00243FCA" w:rsidRDefault="00F03143" w:rsidP="002E6784">
            <w:pPr>
              <w:jc w:val="center"/>
            </w:pPr>
            <w:r w:rsidRPr="00243FCA">
              <w:t>38</w:t>
            </w:r>
          </w:p>
        </w:tc>
        <w:tc>
          <w:tcPr>
            <w:tcW w:w="1278" w:type="dxa"/>
            <w:shd w:val="clear" w:color="auto" w:fill="auto"/>
            <w:vAlign w:val="bottom"/>
          </w:tcPr>
          <w:p w:rsidR="00F03143" w:rsidRPr="00243FCA" w:rsidRDefault="00F03143" w:rsidP="002E6784">
            <w:pPr>
              <w:jc w:val="center"/>
            </w:pPr>
            <w:r w:rsidRPr="00243FCA">
              <w:t>65</w:t>
            </w:r>
          </w:p>
        </w:tc>
      </w:tr>
      <w:tr w:rsidR="00F03143" w:rsidRPr="00243FCA" w:rsidTr="002E6784">
        <w:trPr>
          <w:jc w:val="center"/>
        </w:trPr>
        <w:tc>
          <w:tcPr>
            <w:tcW w:w="1980" w:type="dxa"/>
            <w:shd w:val="clear" w:color="auto" w:fill="auto"/>
          </w:tcPr>
          <w:p w:rsidR="00F03143" w:rsidRPr="00243FCA" w:rsidRDefault="00F03143" w:rsidP="002E6784">
            <w:r w:rsidRPr="00243FCA">
              <w:t>Employee 3</w:t>
            </w:r>
          </w:p>
        </w:tc>
        <w:tc>
          <w:tcPr>
            <w:tcW w:w="1170" w:type="dxa"/>
            <w:shd w:val="clear" w:color="auto" w:fill="auto"/>
            <w:vAlign w:val="bottom"/>
          </w:tcPr>
          <w:p w:rsidR="00F03143" w:rsidRPr="00243FCA" w:rsidRDefault="00F03143" w:rsidP="002E6784">
            <w:pPr>
              <w:ind w:right="134"/>
              <w:jc w:val="right"/>
            </w:pPr>
            <w:r w:rsidRPr="00243FCA">
              <w:t>$ 50,000</w:t>
            </w:r>
          </w:p>
        </w:tc>
        <w:tc>
          <w:tcPr>
            <w:tcW w:w="1170" w:type="dxa"/>
            <w:shd w:val="clear" w:color="auto" w:fill="auto"/>
            <w:vAlign w:val="bottom"/>
          </w:tcPr>
          <w:p w:rsidR="00F03143" w:rsidRPr="00243FCA" w:rsidRDefault="00F03143" w:rsidP="002E6784">
            <w:pPr>
              <w:jc w:val="center"/>
            </w:pPr>
            <w:r w:rsidRPr="00243FCA">
              <w:t>45</w:t>
            </w:r>
          </w:p>
        </w:tc>
        <w:tc>
          <w:tcPr>
            <w:tcW w:w="1278" w:type="dxa"/>
            <w:shd w:val="clear" w:color="auto" w:fill="auto"/>
            <w:vAlign w:val="bottom"/>
          </w:tcPr>
          <w:p w:rsidR="00F03143" w:rsidRPr="00243FCA" w:rsidRDefault="00F03143" w:rsidP="002E6784">
            <w:pPr>
              <w:jc w:val="center"/>
            </w:pPr>
            <w:r w:rsidRPr="00243FCA">
              <w:t>65</w:t>
            </w:r>
          </w:p>
        </w:tc>
      </w:tr>
    </w:tbl>
    <w:p w:rsidR="00F03143" w:rsidRPr="006546FD" w:rsidRDefault="00F03143" w:rsidP="002E6784">
      <w:pPr>
        <w:pStyle w:val="table4colhead"/>
        <w:tabs>
          <w:tab w:val="clear" w:pos="1500"/>
          <w:tab w:val="clear" w:pos="2640"/>
          <w:tab w:val="clear" w:pos="3960"/>
          <w:tab w:val="clear" w:pos="5580"/>
          <w:tab w:val="center" w:pos="3000"/>
          <w:tab w:val="center" w:pos="4500"/>
          <w:tab w:val="center" w:pos="6300"/>
        </w:tabs>
        <w:spacing w:before="0" w:after="0"/>
        <w:ind w:left="1440"/>
        <w:rPr>
          <w:sz w:val="24"/>
          <w:szCs w:val="24"/>
        </w:rPr>
      </w:pPr>
    </w:p>
    <w:p w:rsidR="00F03143" w:rsidRPr="006546FD" w:rsidRDefault="00F03143" w:rsidP="002E6784">
      <w:pPr>
        <w:pStyle w:val="PN"/>
      </w:pPr>
      <w:r w:rsidRPr="006546FD">
        <w:t xml:space="preserve">In this case, the traditional defined benefit plan provides a benefit of </w:t>
      </w:r>
      <w:r>
        <w:t>5</w:t>
      </w:r>
      <w:r w:rsidRPr="006546FD">
        <w:t xml:space="preserve"> percent of high three-year average compensation times years of service up to </w:t>
      </w:r>
      <w:r>
        <w:t>ten</w:t>
      </w:r>
      <w:r w:rsidRPr="006546FD">
        <w:t xml:space="preserve"> years. The cash balance plan credits contributions at the rate of </w:t>
      </w:r>
      <w:r>
        <w:t>10.48</w:t>
      </w:r>
      <w:r w:rsidRPr="006546FD">
        <w:t xml:space="preserve"> percent and interest at 5 percent. All contributions are made at the end of the year</w:t>
      </w:r>
      <w:r w:rsidRPr="006546FD">
        <w:rPr>
          <w:color w:val="FF0000"/>
        </w:rPr>
        <w:t>.</w:t>
      </w:r>
      <w:r>
        <w:rPr>
          <w:rStyle w:val="FootnoteReference"/>
          <w:color w:val="FF0000"/>
        </w:rPr>
        <w:footnoteReference w:id="8"/>
      </w:r>
      <w:r w:rsidRPr="006546FD">
        <w:t xml:space="preserve"> Each employee’s retirement benefit and reserve at retirement for both the traditional plan and the cash balance plan follow. For comparison purposes, the two plans were designed so Employee 2 would receive the same benefits in each plan:</w:t>
      </w:r>
    </w:p>
    <w:tbl>
      <w:tblPr>
        <w:tblW w:w="0" w:type="auto"/>
        <w:jc w:val="center"/>
        <w:tblLook w:val="04A0" w:firstRow="1" w:lastRow="0" w:firstColumn="1" w:lastColumn="0" w:noHBand="0" w:noVBand="1"/>
      </w:tblPr>
      <w:tblGrid>
        <w:gridCol w:w="1353"/>
        <w:gridCol w:w="1800"/>
        <w:gridCol w:w="1350"/>
        <w:gridCol w:w="1518"/>
        <w:gridCol w:w="1530"/>
      </w:tblGrid>
      <w:tr w:rsidR="00F03143" w:rsidRPr="00243FCA" w:rsidTr="002E6784">
        <w:trPr>
          <w:jc w:val="center"/>
        </w:trPr>
        <w:tc>
          <w:tcPr>
            <w:tcW w:w="1353" w:type="dxa"/>
            <w:vMerge w:val="restart"/>
            <w:shd w:val="clear" w:color="auto" w:fill="auto"/>
          </w:tcPr>
          <w:p w:rsidR="00F03143" w:rsidRPr="00243FCA" w:rsidRDefault="00F03143" w:rsidP="002E6784"/>
        </w:tc>
        <w:tc>
          <w:tcPr>
            <w:tcW w:w="3150" w:type="dxa"/>
            <w:gridSpan w:val="2"/>
            <w:shd w:val="clear" w:color="auto" w:fill="auto"/>
            <w:vAlign w:val="bottom"/>
          </w:tcPr>
          <w:p w:rsidR="00F03143" w:rsidRPr="00243FCA" w:rsidRDefault="00F03143" w:rsidP="002E6784">
            <w:pPr>
              <w:jc w:val="center"/>
              <w:rPr>
                <w:b/>
              </w:rPr>
            </w:pPr>
            <w:r w:rsidRPr="00243FCA">
              <w:rPr>
                <w:b/>
              </w:rPr>
              <w:t>Traditional Plan</w:t>
            </w:r>
          </w:p>
        </w:tc>
        <w:tc>
          <w:tcPr>
            <w:tcW w:w="3048" w:type="dxa"/>
            <w:gridSpan w:val="2"/>
            <w:shd w:val="clear" w:color="auto" w:fill="auto"/>
            <w:vAlign w:val="bottom"/>
          </w:tcPr>
          <w:p w:rsidR="00F03143" w:rsidRPr="00243FCA" w:rsidRDefault="00F03143" w:rsidP="002E6784">
            <w:pPr>
              <w:jc w:val="center"/>
              <w:rPr>
                <w:b/>
              </w:rPr>
            </w:pPr>
            <w:r w:rsidRPr="00243FCA">
              <w:rPr>
                <w:b/>
              </w:rPr>
              <w:t>Cash Balance Plan</w:t>
            </w:r>
          </w:p>
        </w:tc>
      </w:tr>
      <w:tr w:rsidR="00F03143" w:rsidRPr="00243FCA" w:rsidTr="002E6784">
        <w:trPr>
          <w:trHeight w:val="806"/>
          <w:jc w:val="center"/>
        </w:trPr>
        <w:tc>
          <w:tcPr>
            <w:tcW w:w="1353" w:type="dxa"/>
            <w:vMerge/>
            <w:shd w:val="clear" w:color="auto" w:fill="auto"/>
          </w:tcPr>
          <w:p w:rsidR="00F03143" w:rsidRPr="00243FCA" w:rsidRDefault="00F03143" w:rsidP="002E6784"/>
        </w:tc>
        <w:tc>
          <w:tcPr>
            <w:tcW w:w="1800" w:type="dxa"/>
            <w:shd w:val="clear" w:color="auto" w:fill="auto"/>
            <w:vAlign w:val="bottom"/>
          </w:tcPr>
          <w:p w:rsidR="00F03143" w:rsidRPr="00243FCA" w:rsidRDefault="00F03143" w:rsidP="002E6784">
            <w:pPr>
              <w:jc w:val="center"/>
              <w:rPr>
                <w:i/>
              </w:rPr>
            </w:pPr>
            <w:r w:rsidRPr="00243FCA">
              <w:rPr>
                <w:i/>
              </w:rPr>
              <w:t>Monthly</w:t>
            </w:r>
          </w:p>
          <w:p w:rsidR="00F03143" w:rsidRPr="00243FCA" w:rsidRDefault="00F03143" w:rsidP="002E6784">
            <w:pPr>
              <w:jc w:val="center"/>
              <w:rPr>
                <w:i/>
              </w:rPr>
            </w:pPr>
            <w:r w:rsidRPr="00243FCA">
              <w:rPr>
                <w:i/>
              </w:rPr>
              <w:t>Retirement</w:t>
            </w:r>
          </w:p>
          <w:p w:rsidR="00F03143" w:rsidRPr="00243FCA" w:rsidRDefault="00F03143" w:rsidP="002E6784">
            <w:pPr>
              <w:jc w:val="center"/>
              <w:rPr>
                <w:i/>
              </w:rPr>
            </w:pPr>
            <w:r w:rsidRPr="00243FCA">
              <w:rPr>
                <w:i/>
              </w:rPr>
              <w:t>Benefit</w:t>
            </w:r>
          </w:p>
        </w:tc>
        <w:tc>
          <w:tcPr>
            <w:tcW w:w="1350" w:type="dxa"/>
            <w:shd w:val="clear" w:color="auto" w:fill="auto"/>
            <w:vAlign w:val="bottom"/>
          </w:tcPr>
          <w:p w:rsidR="00F03143" w:rsidRPr="00243FCA" w:rsidRDefault="00F03143" w:rsidP="002E6784">
            <w:pPr>
              <w:jc w:val="center"/>
              <w:rPr>
                <w:i/>
              </w:rPr>
            </w:pPr>
            <w:r w:rsidRPr="00243FCA">
              <w:rPr>
                <w:i/>
              </w:rPr>
              <w:t>Reserve at</w:t>
            </w:r>
          </w:p>
          <w:p w:rsidR="00F03143" w:rsidRPr="00243FCA" w:rsidRDefault="00F03143" w:rsidP="002E6784">
            <w:pPr>
              <w:jc w:val="center"/>
              <w:rPr>
                <w:i/>
              </w:rPr>
            </w:pPr>
            <w:r w:rsidRPr="00243FCA">
              <w:rPr>
                <w:i/>
              </w:rPr>
              <w:t>Retirement</w:t>
            </w:r>
          </w:p>
        </w:tc>
        <w:tc>
          <w:tcPr>
            <w:tcW w:w="1518" w:type="dxa"/>
            <w:shd w:val="clear" w:color="auto" w:fill="auto"/>
            <w:vAlign w:val="bottom"/>
          </w:tcPr>
          <w:p w:rsidR="00F03143" w:rsidRPr="00243FCA" w:rsidRDefault="00F03143" w:rsidP="002E6784">
            <w:pPr>
              <w:jc w:val="center"/>
              <w:rPr>
                <w:i/>
              </w:rPr>
            </w:pPr>
            <w:r w:rsidRPr="00243FCA">
              <w:rPr>
                <w:i/>
              </w:rPr>
              <w:t>Monthly</w:t>
            </w:r>
          </w:p>
          <w:p w:rsidR="00F03143" w:rsidRPr="00243FCA" w:rsidRDefault="00F03143" w:rsidP="002E6784">
            <w:pPr>
              <w:jc w:val="center"/>
              <w:rPr>
                <w:i/>
              </w:rPr>
            </w:pPr>
            <w:r w:rsidRPr="00243FCA">
              <w:rPr>
                <w:i/>
              </w:rPr>
              <w:t>Retirement</w:t>
            </w:r>
          </w:p>
          <w:p w:rsidR="00F03143" w:rsidRPr="00243FCA" w:rsidRDefault="00F03143" w:rsidP="002E6784">
            <w:pPr>
              <w:jc w:val="center"/>
              <w:rPr>
                <w:i/>
              </w:rPr>
            </w:pPr>
            <w:r w:rsidRPr="00243FCA">
              <w:rPr>
                <w:i/>
              </w:rPr>
              <w:t>Benefit</w:t>
            </w:r>
          </w:p>
        </w:tc>
        <w:tc>
          <w:tcPr>
            <w:tcW w:w="1530" w:type="dxa"/>
            <w:shd w:val="clear" w:color="auto" w:fill="auto"/>
            <w:vAlign w:val="bottom"/>
          </w:tcPr>
          <w:p w:rsidR="00F03143" w:rsidRPr="00243FCA" w:rsidRDefault="00F03143" w:rsidP="002E6784">
            <w:pPr>
              <w:jc w:val="center"/>
              <w:rPr>
                <w:i/>
              </w:rPr>
            </w:pPr>
            <w:r w:rsidRPr="00243FCA">
              <w:rPr>
                <w:i/>
              </w:rPr>
              <w:t>Reserve at</w:t>
            </w:r>
          </w:p>
          <w:p w:rsidR="00F03143" w:rsidRPr="00243FCA" w:rsidRDefault="00F03143" w:rsidP="002E6784">
            <w:pPr>
              <w:jc w:val="center"/>
              <w:rPr>
                <w:i/>
              </w:rPr>
            </w:pPr>
            <w:r w:rsidRPr="00243FCA">
              <w:rPr>
                <w:i/>
              </w:rPr>
              <w:t>Retirement</w:t>
            </w:r>
          </w:p>
        </w:tc>
      </w:tr>
      <w:tr w:rsidR="00F03143" w:rsidRPr="00243FCA" w:rsidTr="002E6784">
        <w:trPr>
          <w:jc w:val="center"/>
        </w:trPr>
        <w:tc>
          <w:tcPr>
            <w:tcW w:w="1353" w:type="dxa"/>
            <w:shd w:val="clear" w:color="auto" w:fill="auto"/>
          </w:tcPr>
          <w:p w:rsidR="00F03143" w:rsidRPr="00243FCA" w:rsidRDefault="00F03143" w:rsidP="002E6784">
            <w:r w:rsidRPr="00243FCA">
              <w:t>Employee 1</w:t>
            </w:r>
          </w:p>
        </w:tc>
        <w:tc>
          <w:tcPr>
            <w:tcW w:w="1800" w:type="dxa"/>
            <w:shd w:val="clear" w:color="auto" w:fill="auto"/>
            <w:vAlign w:val="bottom"/>
          </w:tcPr>
          <w:p w:rsidR="00F03143" w:rsidRPr="00243FCA" w:rsidRDefault="00F03143" w:rsidP="002E6784">
            <w:pPr>
              <w:ind w:right="342"/>
              <w:jc w:val="right"/>
            </w:pPr>
            <w:r w:rsidRPr="00243FCA">
              <w:t xml:space="preserve">$ </w:t>
            </w:r>
            <w:r w:rsidR="002E6784">
              <w:t>1,041.67</w:t>
            </w:r>
          </w:p>
        </w:tc>
        <w:tc>
          <w:tcPr>
            <w:tcW w:w="1350" w:type="dxa"/>
            <w:shd w:val="clear" w:color="auto" w:fill="auto"/>
            <w:vAlign w:val="bottom"/>
          </w:tcPr>
          <w:p w:rsidR="00F03143" w:rsidRPr="00243FCA" w:rsidRDefault="00F03143" w:rsidP="002E6784">
            <w:pPr>
              <w:tabs>
                <w:tab w:val="left" w:pos="875"/>
              </w:tabs>
              <w:ind w:right="84"/>
              <w:jc w:val="right"/>
            </w:pPr>
            <w:r w:rsidRPr="00243FCA">
              <w:t>$ 143,250</w:t>
            </w:r>
          </w:p>
        </w:tc>
        <w:tc>
          <w:tcPr>
            <w:tcW w:w="1518" w:type="dxa"/>
            <w:shd w:val="clear" w:color="auto" w:fill="auto"/>
            <w:vAlign w:val="bottom"/>
          </w:tcPr>
          <w:p w:rsidR="00F03143" w:rsidRPr="00243FCA" w:rsidRDefault="00F03143" w:rsidP="002E6784">
            <w:pPr>
              <w:ind w:right="162"/>
              <w:jc w:val="right"/>
            </w:pPr>
            <w:r w:rsidRPr="00243FCA">
              <w:t>$ 1,720.97</w:t>
            </w:r>
          </w:p>
        </w:tc>
        <w:tc>
          <w:tcPr>
            <w:tcW w:w="1530" w:type="dxa"/>
            <w:shd w:val="clear" w:color="auto" w:fill="auto"/>
            <w:vAlign w:val="bottom"/>
          </w:tcPr>
          <w:p w:rsidR="00F03143" w:rsidRPr="00243FCA" w:rsidRDefault="00F03143" w:rsidP="002E6784">
            <w:pPr>
              <w:ind w:right="247"/>
              <w:jc w:val="right"/>
            </w:pPr>
            <w:r w:rsidRPr="00243FCA">
              <w:t>$ 236,667</w:t>
            </w:r>
          </w:p>
        </w:tc>
      </w:tr>
      <w:tr w:rsidR="00F03143" w:rsidRPr="00243FCA" w:rsidTr="002E6784">
        <w:trPr>
          <w:jc w:val="center"/>
        </w:trPr>
        <w:tc>
          <w:tcPr>
            <w:tcW w:w="1353" w:type="dxa"/>
            <w:shd w:val="clear" w:color="auto" w:fill="auto"/>
          </w:tcPr>
          <w:p w:rsidR="00F03143" w:rsidRPr="00243FCA" w:rsidRDefault="00F03143" w:rsidP="002E6784">
            <w:r w:rsidRPr="00243FCA">
              <w:t>Employee 2</w:t>
            </w:r>
          </w:p>
        </w:tc>
        <w:tc>
          <w:tcPr>
            <w:tcW w:w="1800" w:type="dxa"/>
            <w:shd w:val="clear" w:color="auto" w:fill="auto"/>
            <w:vAlign w:val="bottom"/>
          </w:tcPr>
          <w:p w:rsidR="00F03143" w:rsidRPr="00243FCA" w:rsidRDefault="00F03143" w:rsidP="002E6784">
            <w:pPr>
              <w:ind w:right="342"/>
              <w:jc w:val="right"/>
            </w:pPr>
            <w:r w:rsidRPr="00243FCA">
              <w:t xml:space="preserve">$ </w:t>
            </w:r>
            <w:r w:rsidR="002E6784">
              <w:t>1,458.33</w:t>
            </w:r>
          </w:p>
        </w:tc>
        <w:tc>
          <w:tcPr>
            <w:tcW w:w="1350" w:type="dxa"/>
            <w:shd w:val="clear" w:color="auto" w:fill="auto"/>
            <w:vAlign w:val="bottom"/>
          </w:tcPr>
          <w:p w:rsidR="00F03143" w:rsidRPr="00243FCA" w:rsidRDefault="00F03143" w:rsidP="002E6784">
            <w:pPr>
              <w:tabs>
                <w:tab w:val="left" w:pos="875"/>
              </w:tabs>
              <w:ind w:right="84"/>
              <w:jc w:val="right"/>
            </w:pPr>
            <w:r w:rsidRPr="00243FCA">
              <w:t>$ 200,550</w:t>
            </w:r>
          </w:p>
        </w:tc>
        <w:tc>
          <w:tcPr>
            <w:tcW w:w="1518" w:type="dxa"/>
            <w:shd w:val="clear" w:color="auto" w:fill="auto"/>
            <w:vAlign w:val="bottom"/>
          </w:tcPr>
          <w:p w:rsidR="00F03143" w:rsidRPr="00243FCA" w:rsidRDefault="00F03143" w:rsidP="002E6784">
            <w:pPr>
              <w:tabs>
                <w:tab w:val="center" w:pos="780"/>
              </w:tabs>
              <w:ind w:right="162"/>
              <w:jc w:val="right"/>
            </w:pPr>
            <w:r w:rsidRPr="00243FCA">
              <w:t>$ 1,458.33</w:t>
            </w:r>
          </w:p>
        </w:tc>
        <w:tc>
          <w:tcPr>
            <w:tcW w:w="1530" w:type="dxa"/>
            <w:shd w:val="clear" w:color="auto" w:fill="auto"/>
            <w:vAlign w:val="bottom"/>
          </w:tcPr>
          <w:p w:rsidR="00F03143" w:rsidRPr="00243FCA" w:rsidRDefault="00F03143" w:rsidP="002E6784">
            <w:pPr>
              <w:ind w:right="247"/>
              <w:jc w:val="right"/>
            </w:pPr>
            <w:r w:rsidRPr="00243FCA">
              <w:t>$ 200,550</w:t>
            </w:r>
          </w:p>
        </w:tc>
      </w:tr>
      <w:tr w:rsidR="00F03143" w:rsidRPr="00243FCA" w:rsidTr="002E6784">
        <w:trPr>
          <w:jc w:val="center"/>
        </w:trPr>
        <w:tc>
          <w:tcPr>
            <w:tcW w:w="1353" w:type="dxa"/>
            <w:shd w:val="clear" w:color="auto" w:fill="auto"/>
          </w:tcPr>
          <w:p w:rsidR="00F03143" w:rsidRPr="00243FCA" w:rsidRDefault="00F03143" w:rsidP="002E6784">
            <w:r w:rsidRPr="00243FCA">
              <w:t>Employee 3</w:t>
            </w:r>
          </w:p>
        </w:tc>
        <w:tc>
          <w:tcPr>
            <w:tcW w:w="1800" w:type="dxa"/>
            <w:shd w:val="clear" w:color="auto" w:fill="auto"/>
            <w:vAlign w:val="bottom"/>
          </w:tcPr>
          <w:p w:rsidR="00F03143" w:rsidRPr="00243FCA" w:rsidRDefault="002E6784" w:rsidP="002E6784">
            <w:pPr>
              <w:ind w:right="342"/>
              <w:jc w:val="right"/>
            </w:pPr>
            <w:r>
              <w:t>2,083.33</w:t>
            </w:r>
            <w:r w:rsidR="00F03143" w:rsidRPr="00243FCA">
              <w:t>$</w:t>
            </w:r>
          </w:p>
        </w:tc>
        <w:tc>
          <w:tcPr>
            <w:tcW w:w="1350" w:type="dxa"/>
            <w:shd w:val="clear" w:color="auto" w:fill="auto"/>
            <w:vAlign w:val="bottom"/>
          </w:tcPr>
          <w:p w:rsidR="00F03143" w:rsidRPr="00243FCA" w:rsidRDefault="00F03143" w:rsidP="002E6784">
            <w:pPr>
              <w:tabs>
                <w:tab w:val="left" w:pos="875"/>
              </w:tabs>
              <w:ind w:right="84"/>
              <w:jc w:val="right"/>
            </w:pPr>
            <w:r w:rsidRPr="00243FCA">
              <w:t>$ 286,500</w:t>
            </w:r>
          </w:p>
        </w:tc>
        <w:tc>
          <w:tcPr>
            <w:tcW w:w="1518" w:type="dxa"/>
            <w:shd w:val="clear" w:color="auto" w:fill="auto"/>
            <w:vAlign w:val="bottom"/>
          </w:tcPr>
          <w:p w:rsidR="00F03143" w:rsidRPr="00243FCA" w:rsidRDefault="00F03143" w:rsidP="002E6784">
            <w:pPr>
              <w:tabs>
                <w:tab w:val="center" w:pos="780"/>
              </w:tabs>
              <w:ind w:right="162"/>
              <w:jc w:val="right"/>
            </w:pPr>
            <w:r w:rsidRPr="00243FCA">
              <w:t>$ 1,260.08</w:t>
            </w:r>
          </w:p>
        </w:tc>
        <w:tc>
          <w:tcPr>
            <w:tcW w:w="1530" w:type="dxa"/>
            <w:shd w:val="clear" w:color="auto" w:fill="auto"/>
            <w:vAlign w:val="bottom"/>
          </w:tcPr>
          <w:p w:rsidR="00F03143" w:rsidRPr="00243FCA" w:rsidRDefault="00F03143" w:rsidP="002E6784">
            <w:pPr>
              <w:ind w:right="247"/>
              <w:jc w:val="right"/>
            </w:pPr>
            <w:r w:rsidRPr="00243FCA">
              <w:t>$ 173,286</w:t>
            </w:r>
          </w:p>
        </w:tc>
      </w:tr>
    </w:tbl>
    <w:p w:rsidR="00F03143" w:rsidRDefault="008030B2" w:rsidP="002E6784">
      <w:pPr>
        <w:pStyle w:val="PN"/>
      </w:pPr>
      <w:r>
        <w:rPr>
          <w:noProof/>
        </w:rPr>
        <mc:AlternateContent>
          <mc:Choice Requires="wps">
            <w:drawing>
              <wp:anchor distT="0" distB="0" distL="114300" distR="114300" simplePos="0" relativeHeight="251662336" behindDoc="0" locked="0" layoutInCell="1" allowOverlap="1" wp14:anchorId="16376BA8" wp14:editId="6729CEB7">
                <wp:simplePos x="0" y="0"/>
                <wp:positionH relativeFrom="column">
                  <wp:posOffset>455930</wp:posOffset>
                </wp:positionH>
                <wp:positionV relativeFrom="paragraph">
                  <wp:posOffset>116205</wp:posOffset>
                </wp:positionV>
                <wp:extent cx="4469765" cy="390525"/>
                <wp:effectExtent l="698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390525"/>
                        </a:xfrm>
                        <a:prstGeom prst="rect">
                          <a:avLst/>
                        </a:prstGeom>
                        <a:solidFill>
                          <a:srgbClr val="FFFFFF"/>
                        </a:solidFill>
                        <a:ln w="9525">
                          <a:solidFill>
                            <a:srgbClr val="000000"/>
                          </a:solidFill>
                          <a:miter lim="800000"/>
                          <a:headEnd/>
                          <a:tailEnd/>
                        </a:ln>
                      </wps:spPr>
                      <wps:txbx>
                        <w:txbxContent>
                          <w:p w:rsidR="002E6784" w:rsidRDefault="002E678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35.9pt;margin-top:9.15pt;width:351.95pt;height:30.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1qKAIAAFcEAAAOAAAAZHJzL2Uyb0RvYy54bWysVNtu2zAMfR+wfxD0vjj3NkacokuXYUB3&#10;Adp9AC3LtjDdJimxu68vJSdpdsEehvlBIEXqkDwkvb7plSQH7rwwuqCT0ZgSrpmphG4K+vVx9+aa&#10;Eh9AVyCN5gV94p7ebF6/Wnc251PTGllxRxBE+7yzBW1DsHmWedZyBX5kLNdorI1TEFB1TVY56BBd&#10;yWw6Hi+zzrjKOsO493h7NxjpJuHXNWfhc117HogsKOYW0unSWcYz26whbxzYVrBjGvAPWSgQGoOe&#10;oe4gANk78RuUEswZb+owYkZlpq4F46kGrGYy/qWahxYsT7UgOd6eafL/D5Z9OnxxRFQFnVGiQWGL&#10;HnkfyFvTk1lkp7M+R6cHi26hx2vscqrU23vDvnmizbYF3fBb50zXcqgwu0l8mV08HXB8BCm7j6bC&#10;MLAPJgH1tVOROiSDIDp26encmZgKw8v5fLm6Wi4oYWibrcaL6SKFgPz02jof3nOjSBQK6rDzCR0O&#10;9z7EbCA/ucRg3khR7YSUSXFNuZWOHACnZJe+I/pPblKTrqCrGPvvEOP0/QlCiYDjLoUq6PXZCfJI&#10;2ztdpWEMIOQgY8pSH3mM1A0khr7sU8MSyZHj0lRPSKwzw3TjNqLQGveDkg4nu6D++x4cp0R+0Nic&#10;1WQ+j6uQlPniaoqKu7SUlxbQDKEKGigZxG0Y1mdvnWhajHQah1ts6E4krl+yOqaP05tacNy0uB6X&#10;evJ6+R9sngEAAP//AwBQSwMEFAAGAAgAAAAhABcBO/XdAAAACAEAAA8AAABkcnMvZG93bnJldi54&#10;bWxMj0FPwzAMhe9I/IfISFwmlo6pa1eaTjBpJ04r4541XlvROCXJtu7fY05w8/Oz3vtcbiY7iAv6&#10;0DtSsJgnIJAaZ3pqFRw+dk85iBA1GT04QgU3DLCp7u9KXRh3pT1e6tgKDqFQaAVdjGMhZWg6tDrM&#10;3YjE3sl5qyNL30rj9ZXD7SCfk2Qlre6JGzo94rbD5qs+WwWr73o5e/80M9rfdm++sanZHlKlHh+m&#10;1xcQEaf4dwy/+IwOFTMd3ZlMEIOCbMHkkff5EgT7WZZmII48rHOQVSn/P1D9AAAA//8DAFBLAQIt&#10;ABQABgAIAAAAIQC2gziS/gAAAOEBAAATAAAAAAAAAAAAAAAAAAAAAABbQ29udGVudF9UeXBlc10u&#10;eG1sUEsBAi0AFAAGAAgAAAAhADj9If/WAAAAlAEAAAsAAAAAAAAAAAAAAAAALwEAAF9yZWxzLy5y&#10;ZWxzUEsBAi0AFAAGAAgAAAAhAHmTzWooAgAAVwQAAA4AAAAAAAAAAAAAAAAALgIAAGRycy9lMm9E&#10;b2MueG1sUEsBAi0AFAAGAAgAAAAhABcBO/XdAAAACAEAAA8AAAAAAAAAAAAAAAAAggQAAGRycy9k&#10;b3ducmV2LnhtbFBLBQYAAAAABAAEAPMAAACMBQAAAAA=&#10;">
                <v:textbox style="mso-fit-shape-to-text:t">
                  <w:txbxContent>
                    <w:p w:rsidR="002E6784" w:rsidRDefault="002E6784"/>
                  </w:txbxContent>
                </v:textbox>
              </v:shape>
            </w:pict>
          </mc:Fallback>
        </mc:AlternateContent>
      </w:r>
    </w:p>
    <w:p w:rsidR="00265261" w:rsidRDefault="00265261" w:rsidP="002E6784">
      <w:pPr>
        <w:pStyle w:val="PN"/>
      </w:pPr>
    </w:p>
    <w:p w:rsidR="00F03143" w:rsidRDefault="00F03143" w:rsidP="002E6784">
      <w:pPr>
        <w:pStyle w:val="PN"/>
      </w:pPr>
      <w:r w:rsidRPr="006546FD">
        <w:t>The youngest, Employee 1, receive</w:t>
      </w:r>
      <w:r>
        <w:t>s</w:t>
      </w:r>
      <w:r w:rsidRPr="006546FD">
        <w:t xml:space="preserve"> an increased benefit from the cash balance plan </w:t>
      </w:r>
      <w:r>
        <w:t xml:space="preserve">because of the effect of compounding of the contribution credits. </w:t>
      </w:r>
      <w:r w:rsidRPr="006546FD">
        <w:t>Employee 2 will receive the same benefit</w:t>
      </w:r>
      <w:r>
        <w:t xml:space="preserve"> by design</w:t>
      </w:r>
      <w:r w:rsidRPr="006546FD">
        <w:t>, and Employee 3, the oldest, will receive a reduced benefit</w:t>
      </w:r>
      <w:r>
        <w:t xml:space="preserve"> due to fewer years of compounding</w:t>
      </w:r>
      <w:r w:rsidRPr="006546FD">
        <w:t>.</w:t>
      </w:r>
      <w:r>
        <w:t xml:space="preserve"> After the benefit is determined in the cash balance plan, that benefit is funded as in a traditional defined benefit plan.</w:t>
      </w:r>
    </w:p>
    <w:p w:rsidR="00F03143" w:rsidRPr="007E799B" w:rsidRDefault="00F03143" w:rsidP="002E6784">
      <w:pPr>
        <w:pStyle w:val="PA"/>
      </w:pPr>
      <w:r w:rsidRPr="00C91F10">
        <w:t xml:space="preserve">In some cases, companies converting their plans offer additional contribution credits for older participants to make up for the lower benefits in the cash balance plan. The companies adopting the cash balance plans take the position that in a mobile workforce, a cash balance plan provides more portable benefits that can be rolled over to a plan of a new employer or an IRA and is much easier for the employee to understand. A traditional defined benefit plan expresses the employee’s benefit in the form of monthly income at retirement and attempts to report the accrued benefit in </w:t>
      </w:r>
      <w:r>
        <w:t>the</w:t>
      </w:r>
      <w:r w:rsidRPr="00C91F10">
        <w:t xml:space="preserve"> same form as earned. A cash balance plan reports benefits to employees in the form of a</w:t>
      </w:r>
      <w:r>
        <w:t xml:space="preserve"> theoretical</w:t>
      </w:r>
      <w:r w:rsidRPr="00C91F10">
        <w:t xml:space="preserve"> account balance, something the employee already understands if he or she is </w:t>
      </w:r>
      <w:r>
        <w:t>participating in a 401(k) plan.</w:t>
      </w:r>
    </w:p>
    <w:p w:rsidR="00F03143" w:rsidRPr="00015FF7" w:rsidRDefault="00F03143" w:rsidP="002E6784">
      <w:pPr>
        <w:pStyle w:val="QU"/>
      </w:pPr>
      <w:r w:rsidRPr="00015FF7">
        <w:t>1205</w:t>
      </w:r>
      <w:r>
        <w:t xml:space="preserve">. </w:t>
      </w:r>
      <w:r w:rsidRPr="00015FF7">
        <w:t>Is there a difference in the way benefits are valued for distribution at</w:t>
      </w:r>
      <w:r>
        <w:t xml:space="preserve"> </w:t>
      </w:r>
      <w:r w:rsidRPr="00015FF7">
        <w:t>termination of employment?</w:t>
      </w:r>
    </w:p>
    <w:p w:rsidR="00F03143" w:rsidRDefault="00F03143" w:rsidP="002E6784">
      <w:pPr>
        <w:pStyle w:val="PA"/>
      </w:pPr>
      <w:r w:rsidRPr="007955E5">
        <w:t>Termination benefits differ between cash balance plans and traditional defined benefit plans. For the traditional plan, the payout at termination of service, if available in a lump sum, is the prese</w:t>
      </w:r>
      <w:r>
        <w:t>nt value of the accrued benefit</w:t>
      </w:r>
      <w:r w:rsidRPr="007955E5">
        <w:t xml:space="preserve">. In the cash balance plan, </w:t>
      </w:r>
      <w:r>
        <w:t xml:space="preserve">the </w:t>
      </w:r>
      <w:r w:rsidRPr="007955E5">
        <w:t>payout at termination is the hypothetical account balance if in a lump sum.</w:t>
      </w:r>
    </w:p>
    <w:p w:rsidR="00F03143" w:rsidRDefault="00F03143" w:rsidP="002E6784">
      <w:pPr>
        <w:pStyle w:val="PN"/>
      </w:pPr>
      <w:r w:rsidRPr="00015FF7">
        <w:rPr>
          <w:i/>
        </w:rPr>
        <w:t>Example.</w:t>
      </w:r>
      <w:r>
        <w:t xml:space="preserve"> The </w:t>
      </w:r>
      <w:r w:rsidRPr="00015FF7">
        <w:t>following</w:t>
      </w:r>
      <w:r w:rsidRPr="007955E5">
        <w:t xml:space="preserve"> are the payouts for both a cash balance plan and a traditional defined benefit plan (assume all employees are 100</w:t>
      </w:r>
      <w:r>
        <w:t xml:space="preserve"> </w:t>
      </w:r>
      <w:r w:rsidRPr="007955E5">
        <w:t>percent vested and salaries have not changed)</w:t>
      </w:r>
      <w:r>
        <w:t>:</w:t>
      </w:r>
    </w:p>
    <w:tbl>
      <w:tblPr>
        <w:tblW w:w="0" w:type="auto"/>
        <w:jc w:val="center"/>
        <w:tblLook w:val="04A0" w:firstRow="1" w:lastRow="0" w:firstColumn="1" w:lastColumn="0" w:noHBand="0" w:noVBand="1"/>
      </w:tblPr>
      <w:tblGrid>
        <w:gridCol w:w="2231"/>
        <w:gridCol w:w="1387"/>
        <w:gridCol w:w="1710"/>
        <w:gridCol w:w="1710"/>
      </w:tblGrid>
      <w:tr w:rsidR="00F03143" w:rsidRPr="00E15A27" w:rsidTr="002E6784">
        <w:trPr>
          <w:trHeight w:val="309"/>
          <w:jc w:val="center"/>
        </w:trPr>
        <w:tc>
          <w:tcPr>
            <w:tcW w:w="2231" w:type="dxa"/>
            <w:vMerge w:val="restart"/>
            <w:shd w:val="clear" w:color="auto" w:fill="auto"/>
          </w:tcPr>
          <w:p w:rsidR="00F03143" w:rsidRPr="00E15A27" w:rsidRDefault="00F03143" w:rsidP="002E6784"/>
        </w:tc>
        <w:tc>
          <w:tcPr>
            <w:tcW w:w="1387" w:type="dxa"/>
            <w:vMerge w:val="restart"/>
            <w:shd w:val="clear" w:color="auto" w:fill="auto"/>
            <w:vAlign w:val="bottom"/>
          </w:tcPr>
          <w:p w:rsidR="00F03143" w:rsidRPr="00E15A27" w:rsidRDefault="00F03143" w:rsidP="002E6784">
            <w:pPr>
              <w:jc w:val="center"/>
              <w:rPr>
                <w:b/>
              </w:rPr>
            </w:pPr>
            <w:r w:rsidRPr="00E15A27">
              <w:rPr>
                <w:b/>
              </w:rPr>
              <w:t>Monthly</w:t>
            </w:r>
          </w:p>
          <w:p w:rsidR="00F03143" w:rsidRPr="00E15A27" w:rsidRDefault="00F03143" w:rsidP="002E6784">
            <w:pPr>
              <w:jc w:val="center"/>
              <w:rPr>
                <w:b/>
              </w:rPr>
            </w:pPr>
            <w:r w:rsidRPr="00E15A27">
              <w:rPr>
                <w:b/>
              </w:rPr>
              <w:t>Accrued</w:t>
            </w:r>
          </w:p>
          <w:p w:rsidR="00F03143" w:rsidRPr="00E15A27" w:rsidRDefault="00F03143" w:rsidP="002E6784">
            <w:pPr>
              <w:jc w:val="center"/>
              <w:rPr>
                <w:b/>
              </w:rPr>
            </w:pPr>
            <w:r w:rsidRPr="00E15A27">
              <w:rPr>
                <w:b/>
              </w:rPr>
              <w:t>Benefit</w:t>
            </w:r>
          </w:p>
        </w:tc>
        <w:tc>
          <w:tcPr>
            <w:tcW w:w="1710" w:type="dxa"/>
            <w:vMerge w:val="restart"/>
            <w:shd w:val="clear" w:color="auto" w:fill="auto"/>
            <w:vAlign w:val="bottom"/>
          </w:tcPr>
          <w:p w:rsidR="00F03143" w:rsidRPr="00E15A27" w:rsidRDefault="00F03143" w:rsidP="002E6784">
            <w:pPr>
              <w:jc w:val="center"/>
              <w:rPr>
                <w:b/>
              </w:rPr>
            </w:pPr>
            <w:r w:rsidRPr="00E15A27">
              <w:rPr>
                <w:b/>
              </w:rPr>
              <w:t>Traditional</w:t>
            </w:r>
          </w:p>
          <w:p w:rsidR="00F03143" w:rsidRPr="00E15A27" w:rsidRDefault="00F03143" w:rsidP="002E6784">
            <w:pPr>
              <w:jc w:val="center"/>
              <w:rPr>
                <w:b/>
              </w:rPr>
            </w:pPr>
            <w:r w:rsidRPr="00E15A27">
              <w:rPr>
                <w:b/>
              </w:rPr>
              <w:t>Plan Payout</w:t>
            </w:r>
          </w:p>
          <w:p w:rsidR="00F03143" w:rsidRPr="00E15A27" w:rsidRDefault="00F03143" w:rsidP="002E6784">
            <w:pPr>
              <w:jc w:val="center"/>
              <w:rPr>
                <w:b/>
              </w:rPr>
            </w:pPr>
            <w:r w:rsidRPr="00E15A27">
              <w:rPr>
                <w:b/>
              </w:rPr>
              <w:t>at Termination</w:t>
            </w:r>
          </w:p>
        </w:tc>
        <w:tc>
          <w:tcPr>
            <w:tcW w:w="1710" w:type="dxa"/>
            <w:vMerge w:val="restart"/>
            <w:shd w:val="clear" w:color="auto" w:fill="auto"/>
            <w:vAlign w:val="bottom"/>
          </w:tcPr>
          <w:p w:rsidR="00F03143" w:rsidRPr="00E15A27" w:rsidRDefault="00F03143" w:rsidP="002E6784">
            <w:pPr>
              <w:jc w:val="center"/>
              <w:rPr>
                <w:b/>
              </w:rPr>
            </w:pPr>
            <w:r w:rsidRPr="00E15A27">
              <w:rPr>
                <w:b/>
              </w:rPr>
              <w:t>Cash Balance</w:t>
            </w:r>
          </w:p>
          <w:p w:rsidR="00F03143" w:rsidRPr="00E15A27" w:rsidRDefault="00F03143" w:rsidP="002E6784">
            <w:pPr>
              <w:jc w:val="center"/>
              <w:rPr>
                <w:b/>
              </w:rPr>
            </w:pPr>
            <w:r w:rsidRPr="00E15A27">
              <w:rPr>
                <w:b/>
              </w:rPr>
              <w:t>Payout at</w:t>
            </w:r>
          </w:p>
          <w:p w:rsidR="00F03143" w:rsidRPr="00E15A27" w:rsidRDefault="00F03143" w:rsidP="002E6784">
            <w:pPr>
              <w:jc w:val="center"/>
              <w:rPr>
                <w:b/>
              </w:rPr>
            </w:pPr>
            <w:r w:rsidRPr="00E15A27">
              <w:rPr>
                <w:b/>
              </w:rPr>
              <w:t>Termination</w:t>
            </w:r>
          </w:p>
        </w:tc>
      </w:tr>
      <w:tr w:rsidR="00F03143" w:rsidRPr="00E15A27" w:rsidTr="002E6784">
        <w:trPr>
          <w:trHeight w:val="309"/>
          <w:jc w:val="center"/>
        </w:trPr>
        <w:tc>
          <w:tcPr>
            <w:tcW w:w="2231" w:type="dxa"/>
            <w:vMerge/>
            <w:shd w:val="clear" w:color="auto" w:fill="auto"/>
          </w:tcPr>
          <w:p w:rsidR="00F03143" w:rsidRPr="00E15A27" w:rsidRDefault="00F03143" w:rsidP="002E6784"/>
        </w:tc>
        <w:tc>
          <w:tcPr>
            <w:tcW w:w="1387" w:type="dxa"/>
            <w:vMerge/>
            <w:shd w:val="clear" w:color="auto" w:fill="auto"/>
          </w:tcPr>
          <w:p w:rsidR="00F03143" w:rsidRPr="00E15A27" w:rsidRDefault="00F03143" w:rsidP="002E6784"/>
        </w:tc>
        <w:tc>
          <w:tcPr>
            <w:tcW w:w="1710" w:type="dxa"/>
            <w:vMerge/>
            <w:shd w:val="clear" w:color="auto" w:fill="auto"/>
          </w:tcPr>
          <w:p w:rsidR="00F03143" w:rsidRPr="00E15A27" w:rsidRDefault="00F03143" w:rsidP="002E6784"/>
        </w:tc>
        <w:tc>
          <w:tcPr>
            <w:tcW w:w="1710" w:type="dxa"/>
            <w:vMerge/>
            <w:shd w:val="clear" w:color="auto" w:fill="auto"/>
          </w:tcPr>
          <w:p w:rsidR="00F03143" w:rsidRPr="00E15A27" w:rsidRDefault="00F03143" w:rsidP="002E6784"/>
        </w:tc>
      </w:tr>
      <w:tr w:rsidR="00F03143" w:rsidRPr="00E15A27" w:rsidTr="002E6784">
        <w:trPr>
          <w:trHeight w:val="309"/>
          <w:jc w:val="center"/>
        </w:trPr>
        <w:tc>
          <w:tcPr>
            <w:tcW w:w="2231" w:type="dxa"/>
            <w:vMerge/>
            <w:shd w:val="clear" w:color="auto" w:fill="auto"/>
          </w:tcPr>
          <w:p w:rsidR="00F03143" w:rsidRPr="00E15A27" w:rsidRDefault="00F03143" w:rsidP="002E6784"/>
        </w:tc>
        <w:tc>
          <w:tcPr>
            <w:tcW w:w="1387" w:type="dxa"/>
            <w:vMerge/>
            <w:shd w:val="clear" w:color="auto" w:fill="auto"/>
          </w:tcPr>
          <w:p w:rsidR="00F03143" w:rsidRPr="00E15A27" w:rsidRDefault="00F03143" w:rsidP="002E6784"/>
        </w:tc>
        <w:tc>
          <w:tcPr>
            <w:tcW w:w="1710" w:type="dxa"/>
            <w:vMerge/>
            <w:shd w:val="clear" w:color="auto" w:fill="auto"/>
          </w:tcPr>
          <w:p w:rsidR="00F03143" w:rsidRPr="00E15A27" w:rsidRDefault="00F03143" w:rsidP="002E6784"/>
        </w:tc>
        <w:tc>
          <w:tcPr>
            <w:tcW w:w="1710" w:type="dxa"/>
            <w:vMerge/>
            <w:shd w:val="clear" w:color="auto" w:fill="auto"/>
          </w:tcPr>
          <w:p w:rsidR="00F03143" w:rsidRPr="00E15A27" w:rsidRDefault="00F03143" w:rsidP="002E6784"/>
        </w:tc>
      </w:tr>
      <w:tr w:rsidR="00F03143" w:rsidRPr="00E15A27" w:rsidTr="002E6784">
        <w:trPr>
          <w:jc w:val="center"/>
        </w:trPr>
        <w:tc>
          <w:tcPr>
            <w:tcW w:w="2231" w:type="dxa"/>
            <w:shd w:val="clear" w:color="auto" w:fill="auto"/>
          </w:tcPr>
          <w:p w:rsidR="00F03143" w:rsidRPr="00E15A27" w:rsidRDefault="00F03143" w:rsidP="002E6784">
            <w:r w:rsidRPr="00E15A27">
              <w:t>Employee 1 – Age 30</w:t>
            </w:r>
          </w:p>
        </w:tc>
        <w:tc>
          <w:tcPr>
            <w:tcW w:w="1387" w:type="dxa"/>
            <w:shd w:val="clear" w:color="auto" w:fill="auto"/>
          </w:tcPr>
          <w:p w:rsidR="00F03143" w:rsidRPr="00E15A27" w:rsidRDefault="00F03143" w:rsidP="002E6784"/>
        </w:tc>
        <w:tc>
          <w:tcPr>
            <w:tcW w:w="1710" w:type="dxa"/>
            <w:shd w:val="clear" w:color="auto" w:fill="auto"/>
          </w:tcPr>
          <w:p w:rsidR="00F03143" w:rsidRPr="00E15A27" w:rsidRDefault="00F03143" w:rsidP="002E6784"/>
        </w:tc>
        <w:tc>
          <w:tcPr>
            <w:tcW w:w="1710" w:type="dxa"/>
            <w:shd w:val="clear" w:color="auto" w:fill="auto"/>
          </w:tcPr>
          <w:p w:rsidR="00F03143" w:rsidRPr="00E15A27" w:rsidRDefault="00F03143" w:rsidP="002E6784"/>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1</w:t>
            </w:r>
          </w:p>
        </w:tc>
        <w:tc>
          <w:tcPr>
            <w:tcW w:w="1387" w:type="dxa"/>
            <w:shd w:val="clear" w:color="auto" w:fill="auto"/>
            <w:vAlign w:val="bottom"/>
          </w:tcPr>
          <w:p w:rsidR="00F03143" w:rsidRPr="00E15A27" w:rsidRDefault="00F03143" w:rsidP="002E6784">
            <w:pPr>
              <w:ind w:right="168"/>
              <w:jc w:val="right"/>
            </w:pPr>
            <w:r w:rsidRPr="00E15A27">
              <w:t>$ 104.17</w:t>
            </w:r>
          </w:p>
        </w:tc>
        <w:tc>
          <w:tcPr>
            <w:tcW w:w="1710" w:type="dxa"/>
            <w:shd w:val="clear" w:color="auto" w:fill="auto"/>
            <w:vAlign w:val="bottom"/>
          </w:tcPr>
          <w:p w:rsidR="00F03143" w:rsidRPr="00E15A27" w:rsidRDefault="00F03143" w:rsidP="002E6784">
            <w:pPr>
              <w:ind w:right="254"/>
              <w:jc w:val="right"/>
            </w:pPr>
            <w:r w:rsidRPr="00E15A27">
              <w:t>$ 2,726.83</w:t>
            </w:r>
          </w:p>
        </w:tc>
        <w:tc>
          <w:tcPr>
            <w:tcW w:w="1710" w:type="dxa"/>
            <w:shd w:val="clear" w:color="auto" w:fill="auto"/>
            <w:vAlign w:val="bottom"/>
          </w:tcPr>
          <w:p w:rsidR="00F03143" w:rsidRPr="00E15A27" w:rsidRDefault="00F03143" w:rsidP="002E6784">
            <w:pPr>
              <w:ind w:right="244"/>
              <w:jc w:val="right"/>
            </w:pPr>
            <w:r w:rsidRPr="00E15A27">
              <w:t>$ 2,751.32</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2</w:t>
            </w:r>
          </w:p>
        </w:tc>
        <w:tc>
          <w:tcPr>
            <w:tcW w:w="1387" w:type="dxa"/>
            <w:shd w:val="clear" w:color="auto" w:fill="auto"/>
            <w:vAlign w:val="bottom"/>
          </w:tcPr>
          <w:p w:rsidR="00F03143" w:rsidRPr="00E15A27" w:rsidRDefault="00F03143" w:rsidP="002E6784">
            <w:pPr>
              <w:ind w:right="168"/>
              <w:jc w:val="right"/>
            </w:pPr>
            <w:r w:rsidRPr="00E15A27">
              <w:t>$ 208.33</w:t>
            </w:r>
          </w:p>
        </w:tc>
        <w:tc>
          <w:tcPr>
            <w:tcW w:w="1710" w:type="dxa"/>
            <w:shd w:val="clear" w:color="auto" w:fill="auto"/>
            <w:vAlign w:val="bottom"/>
          </w:tcPr>
          <w:p w:rsidR="00F03143" w:rsidRPr="00E15A27" w:rsidRDefault="00F03143" w:rsidP="002E6784">
            <w:pPr>
              <w:ind w:right="254"/>
              <w:jc w:val="right"/>
            </w:pPr>
            <w:r w:rsidRPr="00E15A27">
              <w:t>$ 5,726.35</w:t>
            </w:r>
          </w:p>
        </w:tc>
        <w:tc>
          <w:tcPr>
            <w:tcW w:w="1710" w:type="dxa"/>
            <w:shd w:val="clear" w:color="auto" w:fill="auto"/>
            <w:vAlign w:val="bottom"/>
          </w:tcPr>
          <w:p w:rsidR="00F03143" w:rsidRPr="00E15A27" w:rsidRDefault="00F03143" w:rsidP="002E6784">
            <w:pPr>
              <w:tabs>
                <w:tab w:val="right" w:pos="1242"/>
              </w:tabs>
              <w:ind w:right="244"/>
              <w:jc w:val="right"/>
            </w:pPr>
            <w:r w:rsidRPr="00E15A27">
              <w:t>$ 5,640.21</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3</w:t>
            </w:r>
          </w:p>
        </w:tc>
        <w:tc>
          <w:tcPr>
            <w:tcW w:w="1387" w:type="dxa"/>
            <w:shd w:val="clear" w:color="auto" w:fill="auto"/>
            <w:vAlign w:val="bottom"/>
          </w:tcPr>
          <w:p w:rsidR="00F03143" w:rsidRPr="00E15A27" w:rsidRDefault="00F03143" w:rsidP="002E6784">
            <w:pPr>
              <w:ind w:right="168"/>
              <w:jc w:val="right"/>
            </w:pPr>
            <w:r w:rsidRPr="00E15A27">
              <w:t>$ 312.50</w:t>
            </w:r>
          </w:p>
        </w:tc>
        <w:tc>
          <w:tcPr>
            <w:tcW w:w="1710" w:type="dxa"/>
            <w:shd w:val="clear" w:color="auto" w:fill="auto"/>
            <w:vAlign w:val="bottom"/>
          </w:tcPr>
          <w:p w:rsidR="00F03143" w:rsidRPr="00E15A27" w:rsidRDefault="00F03143" w:rsidP="002E6784">
            <w:pPr>
              <w:ind w:right="254"/>
              <w:jc w:val="right"/>
            </w:pPr>
            <w:r w:rsidRPr="00E15A27">
              <w:t>$ 9,019.00</w:t>
            </w:r>
          </w:p>
        </w:tc>
        <w:tc>
          <w:tcPr>
            <w:tcW w:w="1710" w:type="dxa"/>
            <w:shd w:val="clear" w:color="auto" w:fill="auto"/>
            <w:vAlign w:val="bottom"/>
          </w:tcPr>
          <w:p w:rsidR="00F03143" w:rsidRPr="00E15A27" w:rsidRDefault="00F03143" w:rsidP="002E6784">
            <w:pPr>
              <w:tabs>
                <w:tab w:val="right" w:pos="1242"/>
              </w:tabs>
              <w:ind w:right="244"/>
              <w:jc w:val="right"/>
            </w:pPr>
            <w:r w:rsidRPr="00E15A27">
              <w:t>$ 8,673.55</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At age 65</w:t>
            </w:r>
          </w:p>
        </w:tc>
        <w:tc>
          <w:tcPr>
            <w:tcW w:w="1387" w:type="dxa"/>
            <w:shd w:val="clear" w:color="auto" w:fill="auto"/>
            <w:vAlign w:val="bottom"/>
          </w:tcPr>
          <w:p w:rsidR="00F03143" w:rsidRPr="00E15A27" w:rsidRDefault="00F03143" w:rsidP="002E6784">
            <w:pPr>
              <w:ind w:right="168"/>
              <w:jc w:val="right"/>
            </w:pPr>
            <w:r w:rsidRPr="00E15A27">
              <w:t>$ 1,041.67</w:t>
            </w:r>
          </w:p>
        </w:tc>
        <w:tc>
          <w:tcPr>
            <w:tcW w:w="1710" w:type="dxa"/>
            <w:shd w:val="clear" w:color="auto" w:fill="auto"/>
            <w:vAlign w:val="bottom"/>
          </w:tcPr>
          <w:p w:rsidR="00F03143" w:rsidRPr="00E15A27" w:rsidRDefault="00F03143" w:rsidP="002E6784">
            <w:pPr>
              <w:ind w:right="254"/>
              <w:jc w:val="right"/>
            </w:pPr>
            <w:r w:rsidRPr="00E15A27">
              <w:t>$ 143,250.00</w:t>
            </w:r>
          </w:p>
        </w:tc>
        <w:tc>
          <w:tcPr>
            <w:tcW w:w="1710" w:type="dxa"/>
            <w:shd w:val="clear" w:color="auto" w:fill="auto"/>
            <w:vAlign w:val="bottom"/>
          </w:tcPr>
          <w:p w:rsidR="00F03143" w:rsidRPr="00E15A27" w:rsidRDefault="00F03143" w:rsidP="002E6784">
            <w:pPr>
              <w:tabs>
                <w:tab w:val="right" w:pos="1242"/>
              </w:tabs>
              <w:ind w:right="244"/>
              <w:jc w:val="right"/>
            </w:pPr>
            <w:r w:rsidRPr="00E15A27">
              <w:t>$ 236,667.11</w:t>
            </w:r>
          </w:p>
        </w:tc>
      </w:tr>
      <w:tr w:rsidR="00F03143" w:rsidRPr="00E15A27" w:rsidTr="002E6784">
        <w:trPr>
          <w:jc w:val="center"/>
        </w:trPr>
        <w:tc>
          <w:tcPr>
            <w:tcW w:w="2231" w:type="dxa"/>
            <w:shd w:val="clear" w:color="auto" w:fill="auto"/>
          </w:tcPr>
          <w:p w:rsidR="00F03143" w:rsidRPr="00E15A27" w:rsidRDefault="00F03143" w:rsidP="002E6784">
            <w:r w:rsidRPr="00E15A27">
              <w:t>Employee 2 – Age 38</w:t>
            </w:r>
          </w:p>
        </w:tc>
        <w:tc>
          <w:tcPr>
            <w:tcW w:w="1387" w:type="dxa"/>
            <w:shd w:val="clear" w:color="auto" w:fill="auto"/>
            <w:vAlign w:val="bottom"/>
          </w:tcPr>
          <w:p w:rsidR="00F03143" w:rsidRPr="00E15A27" w:rsidRDefault="00F03143" w:rsidP="002E6784">
            <w:pPr>
              <w:ind w:right="168"/>
              <w:jc w:val="right"/>
            </w:pPr>
          </w:p>
        </w:tc>
        <w:tc>
          <w:tcPr>
            <w:tcW w:w="1710" w:type="dxa"/>
            <w:shd w:val="clear" w:color="auto" w:fill="auto"/>
            <w:vAlign w:val="bottom"/>
          </w:tcPr>
          <w:p w:rsidR="00F03143" w:rsidRPr="00E15A27" w:rsidRDefault="00F03143" w:rsidP="002E6784">
            <w:pPr>
              <w:ind w:right="254"/>
              <w:jc w:val="right"/>
            </w:pPr>
          </w:p>
        </w:tc>
        <w:tc>
          <w:tcPr>
            <w:tcW w:w="1710" w:type="dxa"/>
            <w:shd w:val="clear" w:color="auto" w:fill="auto"/>
            <w:vAlign w:val="bottom"/>
          </w:tcPr>
          <w:p w:rsidR="00F03143" w:rsidRPr="00E15A27" w:rsidRDefault="00F03143" w:rsidP="002E6784">
            <w:pPr>
              <w:tabs>
                <w:tab w:val="right" w:pos="1242"/>
              </w:tabs>
              <w:ind w:right="244"/>
              <w:jc w:val="right"/>
            </w:pP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1</w:t>
            </w:r>
          </w:p>
        </w:tc>
        <w:tc>
          <w:tcPr>
            <w:tcW w:w="1387" w:type="dxa"/>
            <w:shd w:val="clear" w:color="auto" w:fill="auto"/>
            <w:vAlign w:val="bottom"/>
          </w:tcPr>
          <w:p w:rsidR="00F03143" w:rsidRPr="00E15A27" w:rsidRDefault="00F03143" w:rsidP="002E6784">
            <w:pPr>
              <w:ind w:right="168"/>
              <w:jc w:val="right"/>
            </w:pPr>
            <w:r w:rsidRPr="00E15A27">
              <w:t>$ 145.83</w:t>
            </w:r>
          </w:p>
        </w:tc>
        <w:tc>
          <w:tcPr>
            <w:tcW w:w="1710" w:type="dxa"/>
            <w:shd w:val="clear" w:color="auto" w:fill="auto"/>
            <w:vAlign w:val="bottom"/>
          </w:tcPr>
          <w:p w:rsidR="00F03143" w:rsidRPr="00E15A27" w:rsidRDefault="00F03143" w:rsidP="002E6784">
            <w:pPr>
              <w:ind w:right="254"/>
              <w:jc w:val="right"/>
            </w:pPr>
            <w:r w:rsidRPr="00E15A27">
              <w:t>$ 5,640.28</w:t>
            </w:r>
          </w:p>
        </w:tc>
        <w:tc>
          <w:tcPr>
            <w:tcW w:w="1710" w:type="dxa"/>
            <w:shd w:val="clear" w:color="auto" w:fill="auto"/>
            <w:vAlign w:val="bottom"/>
          </w:tcPr>
          <w:p w:rsidR="00F03143" w:rsidRPr="00E15A27" w:rsidRDefault="00F03143" w:rsidP="002E6784">
            <w:pPr>
              <w:tabs>
                <w:tab w:val="right" w:pos="1242"/>
              </w:tabs>
              <w:ind w:right="244"/>
              <w:jc w:val="right"/>
            </w:pPr>
            <w:r w:rsidRPr="00E15A27">
              <w:t>$ 3,851.85</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2</w:t>
            </w:r>
          </w:p>
        </w:tc>
        <w:tc>
          <w:tcPr>
            <w:tcW w:w="1387" w:type="dxa"/>
            <w:shd w:val="clear" w:color="auto" w:fill="auto"/>
            <w:vAlign w:val="bottom"/>
          </w:tcPr>
          <w:p w:rsidR="00F03143" w:rsidRPr="00E15A27" w:rsidRDefault="00F03143" w:rsidP="002E6784">
            <w:pPr>
              <w:ind w:right="168"/>
              <w:jc w:val="right"/>
            </w:pPr>
            <w:r w:rsidRPr="00E15A27">
              <w:t>$ 291.67</w:t>
            </w:r>
          </w:p>
        </w:tc>
        <w:tc>
          <w:tcPr>
            <w:tcW w:w="1710" w:type="dxa"/>
            <w:shd w:val="clear" w:color="auto" w:fill="auto"/>
            <w:vAlign w:val="bottom"/>
          </w:tcPr>
          <w:p w:rsidR="00F03143" w:rsidRPr="00E15A27" w:rsidRDefault="00F03143" w:rsidP="002E6784">
            <w:pPr>
              <w:ind w:right="254"/>
              <w:jc w:val="right"/>
            </w:pPr>
            <w:r w:rsidRPr="00E15A27">
              <w:t>$ 11,844.59</w:t>
            </w:r>
          </w:p>
        </w:tc>
        <w:tc>
          <w:tcPr>
            <w:tcW w:w="1710" w:type="dxa"/>
            <w:shd w:val="clear" w:color="auto" w:fill="auto"/>
            <w:vAlign w:val="bottom"/>
          </w:tcPr>
          <w:p w:rsidR="00F03143" w:rsidRPr="00E15A27" w:rsidRDefault="00F03143" w:rsidP="002E6784">
            <w:pPr>
              <w:tabs>
                <w:tab w:val="right" w:pos="1242"/>
              </w:tabs>
              <w:ind w:right="244"/>
              <w:jc w:val="right"/>
            </w:pPr>
            <w:r w:rsidRPr="00E15A27">
              <w:t>$ 7,896.30</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3</w:t>
            </w:r>
          </w:p>
        </w:tc>
        <w:tc>
          <w:tcPr>
            <w:tcW w:w="1387" w:type="dxa"/>
            <w:shd w:val="clear" w:color="auto" w:fill="auto"/>
            <w:vAlign w:val="bottom"/>
          </w:tcPr>
          <w:p w:rsidR="00F03143" w:rsidRPr="00E15A27" w:rsidRDefault="00F03143" w:rsidP="002E6784">
            <w:pPr>
              <w:ind w:right="168"/>
              <w:jc w:val="right"/>
            </w:pPr>
            <w:r w:rsidRPr="00E15A27">
              <w:t>$ 625.00</w:t>
            </w:r>
          </w:p>
        </w:tc>
        <w:tc>
          <w:tcPr>
            <w:tcW w:w="1710" w:type="dxa"/>
            <w:shd w:val="clear" w:color="auto" w:fill="auto"/>
            <w:vAlign w:val="bottom"/>
          </w:tcPr>
          <w:p w:rsidR="00F03143" w:rsidRPr="00E15A27" w:rsidRDefault="00F03143" w:rsidP="002E6784">
            <w:pPr>
              <w:ind w:right="254"/>
              <w:jc w:val="right"/>
            </w:pPr>
            <w:r w:rsidRPr="00E15A27">
              <w:t>$ 37,499.70</w:t>
            </w:r>
          </w:p>
        </w:tc>
        <w:tc>
          <w:tcPr>
            <w:tcW w:w="1710" w:type="dxa"/>
            <w:shd w:val="clear" w:color="auto" w:fill="auto"/>
            <w:vAlign w:val="bottom"/>
          </w:tcPr>
          <w:p w:rsidR="00F03143" w:rsidRPr="00E15A27" w:rsidRDefault="00F03143" w:rsidP="002E6784">
            <w:pPr>
              <w:tabs>
                <w:tab w:val="right" w:pos="1242"/>
              </w:tabs>
              <w:ind w:right="244"/>
              <w:jc w:val="right"/>
            </w:pPr>
            <w:r w:rsidRPr="00E15A27">
              <w:t>$ 17,347.10</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At age 65</w:t>
            </w:r>
          </w:p>
        </w:tc>
        <w:tc>
          <w:tcPr>
            <w:tcW w:w="1387" w:type="dxa"/>
            <w:shd w:val="clear" w:color="auto" w:fill="auto"/>
            <w:vAlign w:val="bottom"/>
          </w:tcPr>
          <w:p w:rsidR="00F03143" w:rsidRPr="00E15A27" w:rsidRDefault="00F03143" w:rsidP="002E6784">
            <w:pPr>
              <w:ind w:right="168"/>
              <w:jc w:val="right"/>
            </w:pPr>
            <w:r w:rsidRPr="00E15A27">
              <w:t>$ 1,48.33</w:t>
            </w:r>
          </w:p>
        </w:tc>
        <w:tc>
          <w:tcPr>
            <w:tcW w:w="1710" w:type="dxa"/>
            <w:shd w:val="clear" w:color="auto" w:fill="auto"/>
            <w:vAlign w:val="bottom"/>
          </w:tcPr>
          <w:p w:rsidR="00F03143" w:rsidRPr="00E15A27" w:rsidRDefault="00F03143" w:rsidP="002E6784">
            <w:pPr>
              <w:ind w:right="254"/>
              <w:jc w:val="right"/>
            </w:pPr>
            <w:r w:rsidRPr="00E15A27">
              <w:t>$ 200,550.00</w:t>
            </w:r>
          </w:p>
        </w:tc>
        <w:tc>
          <w:tcPr>
            <w:tcW w:w="1710" w:type="dxa"/>
            <w:shd w:val="clear" w:color="auto" w:fill="auto"/>
            <w:vAlign w:val="bottom"/>
          </w:tcPr>
          <w:p w:rsidR="00F03143" w:rsidRPr="00E15A27" w:rsidRDefault="00F03143" w:rsidP="002E6784">
            <w:pPr>
              <w:tabs>
                <w:tab w:val="right" w:pos="1242"/>
              </w:tabs>
              <w:ind w:right="244"/>
              <w:jc w:val="right"/>
            </w:pPr>
            <w:r w:rsidRPr="00E15A27">
              <w:t>$ 200,550.00</w:t>
            </w:r>
          </w:p>
        </w:tc>
      </w:tr>
      <w:tr w:rsidR="00F03143" w:rsidRPr="00E15A27" w:rsidTr="002E6784">
        <w:trPr>
          <w:jc w:val="center"/>
        </w:trPr>
        <w:tc>
          <w:tcPr>
            <w:tcW w:w="2231" w:type="dxa"/>
            <w:shd w:val="clear" w:color="auto" w:fill="auto"/>
          </w:tcPr>
          <w:p w:rsidR="00F03143" w:rsidRPr="00E15A27" w:rsidRDefault="00F03143" w:rsidP="002E6784">
            <w:r w:rsidRPr="00E15A27">
              <w:lastRenderedPageBreak/>
              <w:t>Employee 3 – Age 45</w:t>
            </w:r>
          </w:p>
        </w:tc>
        <w:tc>
          <w:tcPr>
            <w:tcW w:w="1387" w:type="dxa"/>
            <w:shd w:val="clear" w:color="auto" w:fill="auto"/>
            <w:vAlign w:val="bottom"/>
          </w:tcPr>
          <w:p w:rsidR="00F03143" w:rsidRPr="00E15A27" w:rsidRDefault="00F03143" w:rsidP="002E6784">
            <w:pPr>
              <w:ind w:right="168"/>
              <w:jc w:val="right"/>
            </w:pPr>
          </w:p>
        </w:tc>
        <w:tc>
          <w:tcPr>
            <w:tcW w:w="1710" w:type="dxa"/>
            <w:shd w:val="clear" w:color="auto" w:fill="auto"/>
            <w:vAlign w:val="bottom"/>
          </w:tcPr>
          <w:p w:rsidR="00F03143" w:rsidRPr="00E15A27" w:rsidRDefault="00F03143" w:rsidP="002E6784">
            <w:pPr>
              <w:ind w:right="254"/>
              <w:jc w:val="right"/>
            </w:pPr>
          </w:p>
        </w:tc>
        <w:tc>
          <w:tcPr>
            <w:tcW w:w="1710" w:type="dxa"/>
            <w:shd w:val="clear" w:color="auto" w:fill="auto"/>
            <w:vAlign w:val="bottom"/>
          </w:tcPr>
          <w:p w:rsidR="00F03143" w:rsidRPr="00E15A27" w:rsidRDefault="00F03143" w:rsidP="002E6784">
            <w:pPr>
              <w:tabs>
                <w:tab w:val="right" w:pos="1242"/>
              </w:tabs>
              <w:ind w:right="244"/>
              <w:jc w:val="right"/>
            </w:pP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1</w:t>
            </w:r>
          </w:p>
        </w:tc>
        <w:tc>
          <w:tcPr>
            <w:tcW w:w="1387" w:type="dxa"/>
            <w:shd w:val="clear" w:color="auto" w:fill="auto"/>
            <w:vAlign w:val="bottom"/>
          </w:tcPr>
          <w:p w:rsidR="00F03143" w:rsidRPr="00E15A27" w:rsidRDefault="00F03143" w:rsidP="002E6784">
            <w:pPr>
              <w:ind w:right="168"/>
              <w:jc w:val="right"/>
            </w:pPr>
            <w:r w:rsidRPr="00E15A27">
              <w:t>$ 208.33</w:t>
            </w:r>
          </w:p>
        </w:tc>
        <w:tc>
          <w:tcPr>
            <w:tcW w:w="1710" w:type="dxa"/>
            <w:shd w:val="clear" w:color="auto" w:fill="auto"/>
            <w:vAlign w:val="bottom"/>
          </w:tcPr>
          <w:p w:rsidR="00F03143" w:rsidRPr="00E15A27" w:rsidRDefault="00F03143" w:rsidP="002E6784">
            <w:pPr>
              <w:ind w:right="254"/>
              <w:jc w:val="right"/>
            </w:pPr>
            <w:r w:rsidRPr="00E15A27">
              <w:t>$ 11,337.78</w:t>
            </w:r>
          </w:p>
        </w:tc>
        <w:tc>
          <w:tcPr>
            <w:tcW w:w="1710" w:type="dxa"/>
            <w:shd w:val="clear" w:color="auto" w:fill="auto"/>
            <w:vAlign w:val="bottom"/>
          </w:tcPr>
          <w:p w:rsidR="00F03143" w:rsidRPr="00E15A27" w:rsidRDefault="00F03143" w:rsidP="002E6784">
            <w:pPr>
              <w:tabs>
                <w:tab w:val="right" w:pos="1242"/>
              </w:tabs>
              <w:ind w:right="244"/>
              <w:jc w:val="right"/>
            </w:pPr>
            <w:r w:rsidRPr="00E15A27">
              <w:t>$ 5,502.65</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2</w:t>
            </w:r>
          </w:p>
        </w:tc>
        <w:tc>
          <w:tcPr>
            <w:tcW w:w="1387" w:type="dxa"/>
            <w:shd w:val="clear" w:color="auto" w:fill="auto"/>
            <w:vAlign w:val="bottom"/>
          </w:tcPr>
          <w:p w:rsidR="00F03143" w:rsidRPr="00E15A27" w:rsidRDefault="00F03143" w:rsidP="002E6784">
            <w:pPr>
              <w:ind w:right="168"/>
              <w:jc w:val="right"/>
            </w:pPr>
            <w:r w:rsidRPr="00E15A27">
              <w:t>$ 416.67</w:t>
            </w:r>
          </w:p>
        </w:tc>
        <w:tc>
          <w:tcPr>
            <w:tcW w:w="1710" w:type="dxa"/>
            <w:shd w:val="clear" w:color="auto" w:fill="auto"/>
            <w:vAlign w:val="bottom"/>
          </w:tcPr>
          <w:p w:rsidR="00F03143" w:rsidRPr="00E15A27" w:rsidRDefault="00F03143" w:rsidP="002E6784">
            <w:pPr>
              <w:ind w:right="254"/>
              <w:jc w:val="right"/>
            </w:pPr>
            <w:r w:rsidRPr="00E15A27">
              <w:t>$ 23,809.33</w:t>
            </w:r>
          </w:p>
        </w:tc>
        <w:tc>
          <w:tcPr>
            <w:tcW w:w="1710" w:type="dxa"/>
            <w:shd w:val="clear" w:color="auto" w:fill="auto"/>
            <w:vAlign w:val="bottom"/>
          </w:tcPr>
          <w:p w:rsidR="00F03143" w:rsidRPr="00E15A27" w:rsidRDefault="00F03143" w:rsidP="002E6784">
            <w:pPr>
              <w:tabs>
                <w:tab w:val="right" w:pos="1242"/>
              </w:tabs>
              <w:ind w:right="244"/>
              <w:jc w:val="right"/>
            </w:pPr>
            <w:r w:rsidRPr="00E15A27">
              <w:t>$ 11,280.43</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End of Year 3</w:t>
            </w:r>
          </w:p>
        </w:tc>
        <w:tc>
          <w:tcPr>
            <w:tcW w:w="1387" w:type="dxa"/>
            <w:shd w:val="clear" w:color="auto" w:fill="auto"/>
            <w:vAlign w:val="bottom"/>
          </w:tcPr>
          <w:p w:rsidR="00F03143" w:rsidRPr="00E15A27" w:rsidRDefault="00F03143" w:rsidP="002E6784">
            <w:pPr>
              <w:ind w:right="168"/>
              <w:jc w:val="right"/>
            </w:pPr>
            <w:r w:rsidRPr="00E15A27">
              <w:t>$ 625.00</w:t>
            </w:r>
          </w:p>
        </w:tc>
        <w:tc>
          <w:tcPr>
            <w:tcW w:w="1710" w:type="dxa"/>
            <w:shd w:val="clear" w:color="auto" w:fill="auto"/>
            <w:vAlign w:val="bottom"/>
          </w:tcPr>
          <w:p w:rsidR="00F03143" w:rsidRPr="00E15A27" w:rsidRDefault="00F03143" w:rsidP="002E6784">
            <w:pPr>
              <w:ind w:right="254"/>
              <w:jc w:val="right"/>
            </w:pPr>
            <w:r w:rsidRPr="00E15A27">
              <w:t>$ 37,499.70</w:t>
            </w:r>
          </w:p>
        </w:tc>
        <w:tc>
          <w:tcPr>
            <w:tcW w:w="1710" w:type="dxa"/>
            <w:shd w:val="clear" w:color="auto" w:fill="auto"/>
            <w:vAlign w:val="bottom"/>
          </w:tcPr>
          <w:p w:rsidR="00F03143" w:rsidRPr="00E15A27" w:rsidRDefault="00F03143" w:rsidP="002E6784">
            <w:pPr>
              <w:tabs>
                <w:tab w:val="right" w:pos="1242"/>
              </w:tabs>
              <w:ind w:right="244"/>
              <w:jc w:val="right"/>
            </w:pPr>
            <w:r w:rsidRPr="00E15A27">
              <w:t>$ 17,347.10</w:t>
            </w:r>
          </w:p>
        </w:tc>
      </w:tr>
      <w:tr w:rsidR="00F03143" w:rsidRPr="00E15A27" w:rsidTr="002E6784">
        <w:trPr>
          <w:jc w:val="center"/>
        </w:trPr>
        <w:tc>
          <w:tcPr>
            <w:tcW w:w="2231" w:type="dxa"/>
            <w:shd w:val="clear" w:color="auto" w:fill="auto"/>
          </w:tcPr>
          <w:p w:rsidR="00F03143" w:rsidRPr="00E15A27" w:rsidRDefault="00F03143" w:rsidP="002E6784">
            <w:pPr>
              <w:ind w:left="540"/>
            </w:pPr>
            <w:r w:rsidRPr="00E15A27">
              <w:t>At age 65</w:t>
            </w:r>
          </w:p>
        </w:tc>
        <w:tc>
          <w:tcPr>
            <w:tcW w:w="1387" w:type="dxa"/>
            <w:shd w:val="clear" w:color="auto" w:fill="auto"/>
            <w:vAlign w:val="bottom"/>
          </w:tcPr>
          <w:p w:rsidR="00F03143" w:rsidRPr="00E15A27" w:rsidRDefault="00F03143" w:rsidP="002E6784">
            <w:pPr>
              <w:ind w:right="168"/>
              <w:jc w:val="right"/>
            </w:pPr>
            <w:r w:rsidRPr="00E15A27">
              <w:t>$ 1,041.67</w:t>
            </w:r>
          </w:p>
        </w:tc>
        <w:tc>
          <w:tcPr>
            <w:tcW w:w="1710" w:type="dxa"/>
            <w:shd w:val="clear" w:color="auto" w:fill="auto"/>
            <w:vAlign w:val="bottom"/>
          </w:tcPr>
          <w:p w:rsidR="00F03143" w:rsidRPr="00E15A27" w:rsidRDefault="00F03143" w:rsidP="002E6784">
            <w:pPr>
              <w:ind w:right="254"/>
              <w:jc w:val="right"/>
            </w:pPr>
            <w:r w:rsidRPr="00E15A27">
              <w:t>$ 143,250.00</w:t>
            </w:r>
          </w:p>
        </w:tc>
        <w:tc>
          <w:tcPr>
            <w:tcW w:w="1710" w:type="dxa"/>
            <w:shd w:val="clear" w:color="auto" w:fill="auto"/>
            <w:vAlign w:val="bottom"/>
          </w:tcPr>
          <w:p w:rsidR="00F03143" w:rsidRPr="00E15A27" w:rsidRDefault="00F03143" w:rsidP="002E6784">
            <w:pPr>
              <w:tabs>
                <w:tab w:val="right" w:pos="1242"/>
              </w:tabs>
              <w:ind w:right="244"/>
              <w:jc w:val="right"/>
            </w:pPr>
            <w:r w:rsidRPr="00E15A27">
              <w:t>$ 236,667.11</w:t>
            </w:r>
          </w:p>
        </w:tc>
      </w:tr>
    </w:tbl>
    <w:p w:rsidR="00F03143" w:rsidRDefault="00F03143" w:rsidP="002E6784">
      <w:pPr>
        <w:pStyle w:val="Extract1"/>
        <w:spacing w:before="0"/>
        <w:ind w:left="1440"/>
        <w:jc w:val="left"/>
      </w:pPr>
    </w:p>
    <w:p w:rsidR="00F03143" w:rsidRPr="007955E5" w:rsidRDefault="00F03143" w:rsidP="002E6784">
      <w:pPr>
        <w:pStyle w:val="PN"/>
      </w:pPr>
      <w:r>
        <w:t xml:space="preserve">The payout for </w:t>
      </w:r>
      <w:r w:rsidRPr="007955E5">
        <w:t xml:space="preserve">Employee 1 is </w:t>
      </w:r>
      <w:r>
        <w:t>close in both plans but is significantly higher in later years and at r</w:t>
      </w:r>
      <w:r w:rsidRPr="007955E5">
        <w:t>etirement</w:t>
      </w:r>
      <w:r>
        <w:t xml:space="preserve"> in the cash balance plan</w:t>
      </w:r>
      <w:r w:rsidRPr="007955E5">
        <w:t xml:space="preserve"> because </w:t>
      </w:r>
      <w:r>
        <w:t xml:space="preserve">of the effect of compounding. </w:t>
      </w:r>
      <w:r w:rsidRPr="007955E5">
        <w:t>Employee 2 receives the same benefit at retirement but also will receive a higher payout on termination before retirement from the traditional defined benefit plan. Employee 3 is ahead in the early years in the traditional plan but loses significant benefits in later years because of the fixed contribution in the cash balance plan and fewer years for the compounding of investment returns to take effect</w:t>
      </w:r>
      <w:r>
        <w:t>.</w:t>
      </w:r>
    </w:p>
    <w:p w:rsidR="00F03143" w:rsidRPr="007E799B" w:rsidRDefault="00F03143" w:rsidP="007E799B"/>
    <w:p w:rsidR="00F03143" w:rsidRDefault="00F03143" w:rsidP="002E6784">
      <w:pPr>
        <w:pStyle w:val="HC"/>
      </w:pPr>
      <w:r>
        <w:t>Fully Insured 412(e) Plans</w:t>
      </w:r>
    </w:p>
    <w:p w:rsidR="00F03143" w:rsidRDefault="00F03143" w:rsidP="002E6784">
      <w:pPr>
        <w:pStyle w:val="QU"/>
      </w:pPr>
      <w:r w:rsidRPr="00E55F35">
        <w:t>12</w:t>
      </w:r>
      <w:r w:rsidRPr="00D625D8">
        <w:t>0</w:t>
      </w:r>
      <w:r>
        <w:t>6. What is a 412(e) plan</w:t>
      </w:r>
      <w:r w:rsidR="00CD48B8">
        <w:t xml:space="preserve"> (formerly 412(</w:t>
      </w:r>
      <w:proofErr w:type="spellStart"/>
      <w:r w:rsidR="00CD48B8">
        <w:t>i</w:t>
      </w:r>
      <w:proofErr w:type="spellEnd"/>
      <w:r w:rsidR="00CD48B8">
        <w:t>) plans)</w:t>
      </w:r>
      <w:r w:rsidRPr="00D625D8">
        <w:t>?</w:t>
      </w:r>
    </w:p>
    <w:p w:rsidR="00F03143" w:rsidRDefault="00F03143" w:rsidP="002E6784">
      <w:pPr>
        <w:pStyle w:val="PA"/>
      </w:pPr>
      <w:r w:rsidRPr="00103F55">
        <w:t>Another nontraditional defined benefit plan is the fully insured</w:t>
      </w:r>
      <w:r>
        <w:t xml:space="preserve"> plan</w:t>
      </w:r>
      <w:r w:rsidRPr="00103F55">
        <w:t xml:space="preserve">, or the 412(e), plan. The “412(e)” </w:t>
      </w:r>
      <w:r w:rsidRPr="002A3797">
        <w:t>refers</w:t>
      </w:r>
      <w:r w:rsidRPr="00103F55">
        <w:t xml:space="preserve"> to Code </w:t>
      </w:r>
      <w:r>
        <w:t>s</w:t>
      </w:r>
      <w:r w:rsidRPr="00103F55">
        <w:t>ection 412(e)</w:t>
      </w:r>
      <w:r>
        <w:t xml:space="preserve">, </w:t>
      </w:r>
      <w:r w:rsidRPr="00103F55">
        <w:t>which sets forth the guidelines for fully insured plans. Requirements include</w:t>
      </w:r>
      <w:r>
        <w:t xml:space="preserve"> the following</w:t>
      </w:r>
      <w:r w:rsidRPr="00103F55">
        <w:t>:</w:t>
      </w:r>
      <w:r>
        <w:rPr>
          <w:rStyle w:val="FootnoteReference"/>
        </w:rPr>
        <w:footnoteReference w:id="9"/>
      </w:r>
    </w:p>
    <w:p w:rsidR="00F03143" w:rsidRPr="00103F55" w:rsidRDefault="00F03143" w:rsidP="002E6784">
      <w:pPr>
        <w:pStyle w:val="PC"/>
      </w:pPr>
      <w:r w:rsidRPr="00103F55">
        <w:t>1.</w:t>
      </w:r>
      <w:r w:rsidRPr="00103F55">
        <w:tab/>
        <w:t>A fully insured plan is funded exclusively by individual or group insurance</w:t>
      </w:r>
      <w:r>
        <w:t>,</w:t>
      </w:r>
      <w:r w:rsidRPr="00103F55">
        <w:t xml:space="preserve"> annuity contracts</w:t>
      </w:r>
      <w:r>
        <w:t>, or both</w:t>
      </w:r>
      <w:r w:rsidRPr="00103F55">
        <w:t>.</w:t>
      </w:r>
    </w:p>
    <w:p w:rsidR="00F03143" w:rsidRPr="00103F55" w:rsidRDefault="00F03143" w:rsidP="002E6784">
      <w:pPr>
        <w:pStyle w:val="PC"/>
      </w:pPr>
      <w:r w:rsidRPr="00103F55">
        <w:t>2.</w:t>
      </w:r>
      <w:r w:rsidRPr="00103F55">
        <w:tab/>
        <w:t>The funding contracts must provide for level annual premiums from the date of participation until retirement as defined in the plan.</w:t>
      </w:r>
    </w:p>
    <w:p w:rsidR="00F03143" w:rsidRPr="00103F55" w:rsidRDefault="00F03143" w:rsidP="002E6784">
      <w:pPr>
        <w:pStyle w:val="PC"/>
      </w:pPr>
      <w:r w:rsidRPr="00103F55">
        <w:t>3.</w:t>
      </w:r>
      <w:r w:rsidRPr="00103F55">
        <w:tab/>
        <w:t>A fully insured plan provides only the benefits provided by the funding contract and is guaranteed by an insurance carrier.</w:t>
      </w:r>
    </w:p>
    <w:p w:rsidR="00F03143" w:rsidRPr="00103F55" w:rsidRDefault="00F03143" w:rsidP="002E6784">
      <w:pPr>
        <w:pStyle w:val="PC"/>
      </w:pPr>
      <w:r w:rsidRPr="00103F55">
        <w:t>4.</w:t>
      </w:r>
      <w:r w:rsidRPr="00103F55">
        <w:tab/>
        <w:t>A fully insured plan must pay all premiums before the contracts funding the benefits lapse.</w:t>
      </w:r>
    </w:p>
    <w:p w:rsidR="00F03143" w:rsidRPr="00103F55" w:rsidRDefault="00F03143" w:rsidP="002E6784">
      <w:pPr>
        <w:pStyle w:val="PC"/>
      </w:pPr>
      <w:r w:rsidRPr="00103F55">
        <w:t>5.</w:t>
      </w:r>
      <w:r w:rsidRPr="00103F55">
        <w:tab/>
        <w:t>No rights under the contracts have been subject to a security interest at any time during the plan year.</w:t>
      </w:r>
    </w:p>
    <w:p w:rsidR="00F03143" w:rsidRPr="00103F55" w:rsidRDefault="00F03143" w:rsidP="002E6784">
      <w:pPr>
        <w:pStyle w:val="PC"/>
      </w:pPr>
      <w:r w:rsidRPr="00103F55">
        <w:t>6.</w:t>
      </w:r>
      <w:r w:rsidRPr="00103F55">
        <w:tab/>
        <w:t>A fully insured plan may not allow for policy loans.</w:t>
      </w:r>
    </w:p>
    <w:p w:rsidR="00F03143" w:rsidRDefault="00F03143" w:rsidP="002E6784">
      <w:pPr>
        <w:pStyle w:val="PA"/>
      </w:pPr>
      <w:r>
        <w:t>S</w:t>
      </w:r>
      <w:r w:rsidRPr="00103F55">
        <w:t xml:space="preserve">ection 412 </w:t>
      </w:r>
      <w:r>
        <w:t xml:space="preserve">generally </w:t>
      </w:r>
      <w:r w:rsidRPr="00103F55">
        <w:t xml:space="preserve">requires a defined benefit plan to fund the retirement benefits as earned, the benefits earned attributable to past service, the cost of benefit increases, and the gain or cost resulting from actual </w:t>
      </w:r>
      <w:r w:rsidRPr="002A3797">
        <w:t>experience</w:t>
      </w:r>
      <w:r w:rsidRPr="00103F55">
        <w:t xml:space="preserve"> as opposed to assumptions—that is, actual investment returns, salaries, turnover, etc., must be funded over a specific number of years. A </w:t>
      </w:r>
      <w:r>
        <w:t xml:space="preserve">section </w:t>
      </w:r>
      <w:r w:rsidRPr="00103F55">
        <w:t>412(e) plan is specifically exempt from these requirements if the plan complies with requirements 1 through 6</w:t>
      </w:r>
      <w:r>
        <w:t xml:space="preserve"> above</w:t>
      </w:r>
      <w:r w:rsidRPr="00103F55">
        <w:t>.</w:t>
      </w:r>
      <w:r>
        <w:rPr>
          <w:rStyle w:val="FootnoteReference"/>
        </w:rPr>
        <w:footnoteReference w:id="10"/>
      </w:r>
    </w:p>
    <w:p w:rsidR="00F03143" w:rsidRPr="007E799B" w:rsidRDefault="00F03143" w:rsidP="007E799B"/>
    <w:p w:rsidR="00F03143" w:rsidRPr="00FB1C6E" w:rsidRDefault="00F03143" w:rsidP="002E6784">
      <w:pPr>
        <w:pStyle w:val="QU"/>
      </w:pPr>
      <w:r>
        <w:t>1</w:t>
      </w:r>
      <w:r w:rsidRPr="00FB1C6E">
        <w:t>207</w:t>
      </w:r>
      <w:r>
        <w:t xml:space="preserve">. </w:t>
      </w:r>
      <w:r w:rsidRPr="00FB1C6E">
        <w:t>What is the advantage of a 412(e) plan?</w:t>
      </w:r>
    </w:p>
    <w:p w:rsidR="00F03143" w:rsidRPr="00103F55" w:rsidRDefault="00F03143" w:rsidP="002E6784">
      <w:pPr>
        <w:pStyle w:val="PA"/>
      </w:pPr>
      <w:r w:rsidRPr="00103F55">
        <w:t xml:space="preserve">The greatest advantage of the </w:t>
      </w:r>
      <w:r>
        <w:t xml:space="preserve">section </w:t>
      </w:r>
      <w:r w:rsidRPr="00103F55">
        <w:t xml:space="preserve">412(e) plan is the high level of contributions necessary to fund the plan compared to traditional defined benefit plans. This high level of contributions results from the highly conservative assumptions that underlie the insurance or annuity contracts used to fund the benefits. Many insurance companies have developed special products for </w:t>
      </w:r>
      <w:r>
        <w:t xml:space="preserve">section </w:t>
      </w:r>
      <w:r w:rsidRPr="00103F55">
        <w:t xml:space="preserve">412(e) plans. Generally these products pay dividends in later years because of excess earnings but allow the plan sponsor to fund large amounts in the early years. This is perfect for a mature company </w:t>
      </w:r>
      <w:r>
        <w:t>in which</w:t>
      </w:r>
      <w:r w:rsidRPr="00103F55">
        <w:t xml:space="preserve"> the owner began funding retirement benefits late in his or her career and would like to semi</w:t>
      </w:r>
      <w:r>
        <w:t>-</w:t>
      </w:r>
      <w:r w:rsidRPr="00103F55">
        <w:t xml:space="preserve">retire in a few years, just as the contribution for the pension plan is reduced because of increasing dividends. A typical annuity contract used in fully insured plans </w:t>
      </w:r>
      <w:r>
        <w:t>may</w:t>
      </w:r>
      <w:r w:rsidRPr="00103F55">
        <w:t xml:space="preserve"> assume 3 percent to 4 percent pre-retirement interest, 3 percent to 4 percent postretirement interest, and 1971 individual annuity mortality. Compare this to </w:t>
      </w:r>
      <w:r>
        <w:t xml:space="preserve">the </w:t>
      </w:r>
      <w:r w:rsidRPr="00103F55">
        <w:t>typical assumptions that must be reasonable in the aggregate</w:t>
      </w:r>
      <w:r>
        <w:rPr>
          <w:rStyle w:val="FootnoteReference"/>
        </w:rPr>
        <w:footnoteReference w:id="11"/>
      </w:r>
      <w:r w:rsidRPr="00103F55">
        <w:t xml:space="preserve"> in a traditional defined benefit plan: </w:t>
      </w:r>
      <w:r>
        <w:t>5</w:t>
      </w:r>
      <w:r w:rsidRPr="00103F55">
        <w:t xml:space="preserve"> percent to </w:t>
      </w:r>
      <w:r>
        <w:t>6</w:t>
      </w:r>
      <w:r w:rsidRPr="00103F55">
        <w:t xml:space="preserve"> percent preretirement interest, 5 percent to 6 percent post</w:t>
      </w:r>
      <w:r>
        <w:t>-</w:t>
      </w:r>
      <w:r w:rsidRPr="00103F55">
        <w:t xml:space="preserve">retirement interest, and 1983 individual </w:t>
      </w:r>
      <w:r>
        <w:t>annuity mortality.</w:t>
      </w:r>
    </w:p>
    <w:p w:rsidR="00F03143" w:rsidRPr="007E799B" w:rsidRDefault="00F03143" w:rsidP="007E799B"/>
    <w:p w:rsidR="00F03143" w:rsidRDefault="00F03143" w:rsidP="002E6784">
      <w:pPr>
        <w:pStyle w:val="QU"/>
      </w:pPr>
      <w:r w:rsidRPr="00E55F35">
        <w:t>12</w:t>
      </w:r>
      <w:r w:rsidRPr="00D625D8">
        <w:t>0</w:t>
      </w:r>
      <w:r>
        <w:t>8. Can a traditional defined benefit plan be converted to a 412(e) plan</w:t>
      </w:r>
      <w:r w:rsidRPr="00D625D8">
        <w:t>?</w:t>
      </w:r>
    </w:p>
    <w:p w:rsidR="00F03143" w:rsidRDefault="00F03143" w:rsidP="002E6784">
      <w:pPr>
        <w:pStyle w:val="PA"/>
      </w:pPr>
      <w:r w:rsidRPr="00C31152">
        <w:t xml:space="preserve">If </w:t>
      </w:r>
      <w:r>
        <w:t>a traditional defined benefit plan is converted to a fully insured plan,</w:t>
      </w:r>
      <w:r w:rsidRPr="00C31152">
        <w:t xml:space="preserve"> a single</w:t>
      </w:r>
      <w:r>
        <w:t>-</w:t>
      </w:r>
      <w:r w:rsidRPr="00C31152">
        <w:t>premium</w:t>
      </w:r>
      <w:r>
        <w:t>,</w:t>
      </w:r>
      <w:r w:rsidRPr="00C31152">
        <w:t xml:space="preserve"> deferred annuity contract would be purchased for each participant for benefits attributable to past service—that is, the accrued benefit </w:t>
      </w:r>
      <w:r>
        <w:t xml:space="preserve">as of the time of conversion, </w:t>
      </w:r>
      <w:r w:rsidRPr="00C31152">
        <w:t>and a level</w:t>
      </w:r>
      <w:r>
        <w:t>-</w:t>
      </w:r>
      <w:r w:rsidRPr="00C31152">
        <w:t>premium</w:t>
      </w:r>
      <w:r>
        <w:t>,</w:t>
      </w:r>
      <w:r w:rsidRPr="00C31152">
        <w:t xml:space="preserve"> deferred annuity contract would be purchased for each participant for the excess of the projected benefit over the accrued benefit. </w:t>
      </w:r>
      <w:r>
        <w:t>I</w:t>
      </w:r>
      <w:r w:rsidRPr="00C31152">
        <w:t>f the total premiums paid for the year of conversion to fund the accrued benefits were in excess of the plan assets that excess is deductible, as are the level annual premiums being paid to fund the remaining benefits.</w:t>
      </w:r>
      <w:r>
        <w:rPr>
          <w:rStyle w:val="FootnoteReference"/>
        </w:rPr>
        <w:footnoteReference w:id="12"/>
      </w:r>
      <w:r w:rsidRPr="00C31152">
        <w:t xml:space="preserve"> That excess premium paid, if any, would be amortized over </w:t>
      </w:r>
      <w:r>
        <w:t>ten</w:t>
      </w:r>
      <w:r w:rsidRPr="00C31152">
        <w:t xml:space="preserve"> years.</w:t>
      </w:r>
      <w:r>
        <w:rPr>
          <w:rStyle w:val="FootnoteReference"/>
        </w:rPr>
        <w:footnoteReference w:id="13"/>
      </w:r>
    </w:p>
    <w:p w:rsidR="00F03143" w:rsidRPr="00C31152" w:rsidRDefault="00F03143" w:rsidP="002E6784">
      <w:pPr>
        <w:pStyle w:val="PA"/>
      </w:pPr>
      <w:r w:rsidRPr="00C31152">
        <w:t xml:space="preserve">Any conversion from a traditional defined benefit plan subject to </w:t>
      </w:r>
      <w:r>
        <w:t>Code s</w:t>
      </w:r>
      <w:r w:rsidRPr="00C31152">
        <w:t>ection 412 that is converted to a 412(e) plan must satisfy the following requirements:</w:t>
      </w:r>
      <w:r>
        <w:rPr>
          <w:rStyle w:val="FootnoteReference"/>
        </w:rPr>
        <w:footnoteReference w:id="14"/>
      </w:r>
    </w:p>
    <w:p w:rsidR="00F03143" w:rsidRPr="00C31152" w:rsidRDefault="00F03143" w:rsidP="002E6784">
      <w:pPr>
        <w:pStyle w:val="PC"/>
      </w:pPr>
      <w:r w:rsidRPr="00C31152">
        <w:t>1.</w:t>
      </w:r>
      <w:r w:rsidRPr="00C31152">
        <w:tab/>
        <w:t xml:space="preserve">The plan must satisfy </w:t>
      </w:r>
      <w:r>
        <w:t>Code</w:t>
      </w:r>
      <w:r w:rsidRPr="00C31152">
        <w:t xml:space="preserve"> </w:t>
      </w:r>
      <w:r>
        <w:t>s</w:t>
      </w:r>
      <w:r w:rsidRPr="00C31152">
        <w:t>ection</w:t>
      </w:r>
      <w:r>
        <w:t>s</w:t>
      </w:r>
      <w:r w:rsidRPr="00C31152">
        <w:t xml:space="preserve"> 412(e),</w:t>
      </w:r>
      <w:r>
        <w:t xml:space="preserve"> </w:t>
      </w:r>
      <w:r w:rsidRPr="00C31152">
        <w:t xml:space="preserve">403(a) </w:t>
      </w:r>
      <w:r>
        <w:t>“Ta</w:t>
      </w:r>
      <w:r w:rsidRPr="00C31152">
        <w:t xml:space="preserve">xability of Beneficiary </w:t>
      </w:r>
      <w:r>
        <w:t>u</w:t>
      </w:r>
      <w:r w:rsidRPr="00C31152">
        <w:t>nder a Qualified Annuity Plan,</w:t>
      </w:r>
      <w:r>
        <w:t>”</w:t>
      </w:r>
      <w:r w:rsidRPr="00C31152">
        <w:t xml:space="preserve"> a</w:t>
      </w:r>
      <w:r>
        <w:t xml:space="preserve">nd </w:t>
      </w:r>
      <w:r w:rsidRPr="00C31152">
        <w:t xml:space="preserve">404(a)(2) </w:t>
      </w:r>
      <w:r>
        <w:t>“</w:t>
      </w:r>
      <w:r w:rsidRPr="00C31152">
        <w:t>Deductibility of Employee Annuity Plans.</w:t>
      </w:r>
      <w:r>
        <w:t>”</w:t>
      </w:r>
    </w:p>
    <w:p w:rsidR="00F03143" w:rsidRPr="00C31152" w:rsidRDefault="00F03143" w:rsidP="002E6784">
      <w:pPr>
        <w:pStyle w:val="PC"/>
      </w:pPr>
      <w:r w:rsidRPr="00C31152">
        <w:t>2.</w:t>
      </w:r>
      <w:r w:rsidRPr="00C31152">
        <w:tab/>
        <w:t>All benefits accruing for each participant on and after the conversion date are</w:t>
      </w:r>
      <w:r>
        <w:t xml:space="preserve"> </w:t>
      </w:r>
      <w:r w:rsidRPr="00C31152">
        <w:t>funded by level annual premium contracts.</w:t>
      </w:r>
    </w:p>
    <w:p w:rsidR="00F03143" w:rsidRPr="00C31152" w:rsidRDefault="00F03143" w:rsidP="002E6784">
      <w:pPr>
        <w:pStyle w:val="PC"/>
      </w:pPr>
      <w:r w:rsidRPr="00C31152">
        <w:lastRenderedPageBreak/>
        <w:t>3.</w:t>
      </w:r>
      <w:r w:rsidRPr="00C31152">
        <w:tab/>
        <w:t>All benefits accrued for each participant before the conversion date are guaranteed through insurance or annuity contracts.</w:t>
      </w:r>
    </w:p>
    <w:p w:rsidR="00F03143" w:rsidRPr="00C31152" w:rsidRDefault="00F03143" w:rsidP="002E6784">
      <w:pPr>
        <w:pStyle w:val="PC"/>
      </w:pPr>
      <w:r w:rsidRPr="00C31152">
        <w:t>4.</w:t>
      </w:r>
      <w:r w:rsidRPr="00C31152">
        <w:tab/>
        <w:t xml:space="preserve">There are meaningful continuing benefit accruals under the plan after the </w:t>
      </w:r>
      <w:r>
        <w:tab/>
      </w:r>
      <w:r w:rsidRPr="00C31152">
        <w:t>conversion date.</w:t>
      </w:r>
    </w:p>
    <w:p w:rsidR="00F03143" w:rsidRPr="00C31152" w:rsidRDefault="00F03143" w:rsidP="002E6784">
      <w:pPr>
        <w:pStyle w:val="PC"/>
      </w:pPr>
      <w:r w:rsidRPr="00C31152">
        <w:t>5.</w:t>
      </w:r>
      <w:r w:rsidRPr="00C31152">
        <w:tab/>
        <w:t xml:space="preserve">The following actions must be taken before the conversion date, which would be </w:t>
      </w:r>
      <w:r>
        <w:tab/>
      </w:r>
      <w:r w:rsidRPr="00C31152">
        <w:t>the first day of the plan year of conversion:</w:t>
      </w:r>
    </w:p>
    <w:p w:rsidR="00F03143" w:rsidRPr="00C31152" w:rsidRDefault="00F03143" w:rsidP="002E6784">
      <w:pPr>
        <w:pStyle w:val="PF"/>
      </w:pPr>
      <w:r w:rsidRPr="00C31152">
        <w:t>a.</w:t>
      </w:r>
      <w:r>
        <w:tab/>
      </w:r>
      <w:r w:rsidRPr="00C31152">
        <w:t>Contracts are purchased guaranteeing the accrued benefits.</w:t>
      </w:r>
    </w:p>
    <w:p w:rsidR="00F03143" w:rsidRPr="00C31152" w:rsidRDefault="00F03143" w:rsidP="002E6784">
      <w:pPr>
        <w:pStyle w:val="PF"/>
      </w:pPr>
      <w:r w:rsidRPr="00C31152">
        <w:t>b.</w:t>
      </w:r>
      <w:r>
        <w:tab/>
      </w:r>
      <w:r w:rsidRPr="00C31152">
        <w:t>Remaining plan assets are applied to the payment of premiums for level annual premium contracts funding the remaining benefits.</w:t>
      </w:r>
    </w:p>
    <w:p w:rsidR="00F03143" w:rsidRDefault="00F03143" w:rsidP="002E6784">
      <w:pPr>
        <w:pStyle w:val="PF"/>
      </w:pPr>
      <w:r w:rsidRPr="00C31152">
        <w:t>c.</w:t>
      </w:r>
      <w:r>
        <w:tab/>
      </w:r>
      <w:r w:rsidRPr="00C31152">
        <w:t>Any plan amendments necessary for the conversion are adopted.</w:t>
      </w:r>
    </w:p>
    <w:p w:rsidR="00F03143" w:rsidRPr="00C31152" w:rsidRDefault="00F03143" w:rsidP="002E6784">
      <w:pPr>
        <w:pStyle w:val="PA"/>
      </w:pPr>
      <w:r>
        <w:t>In addition, m</w:t>
      </w:r>
      <w:r w:rsidRPr="00C31152">
        <w:t>eaningful accruals must continue for at least three plan years after the conversion date. Although it has not been stated, it has been accepted that top-heavy minimum accruals would be reasonable accruals.</w:t>
      </w:r>
      <w:r>
        <w:t xml:space="preserve"> I</w:t>
      </w:r>
      <w:r w:rsidRPr="00C31152">
        <w:t>f the</w:t>
      </w:r>
      <w:r>
        <w:t xml:space="preserve"> </w:t>
      </w:r>
      <w:r w:rsidRPr="00C31152">
        <w:t xml:space="preserve">five </w:t>
      </w:r>
      <w:r>
        <w:t xml:space="preserve">listed </w:t>
      </w:r>
      <w:r w:rsidRPr="00C31152">
        <w:t xml:space="preserve">requirements are not satisfied on or before the first day of the plan year, the plan will be subject to the minimum funding standards of </w:t>
      </w:r>
      <w:r>
        <w:t>Code</w:t>
      </w:r>
      <w:r w:rsidRPr="00C31152">
        <w:t xml:space="preserve"> </w:t>
      </w:r>
      <w:r>
        <w:t>s</w:t>
      </w:r>
      <w:r w:rsidRPr="00C31152">
        <w:t>ection 412 as a traditional defined benefit plan for that plan year.</w:t>
      </w:r>
    </w:p>
    <w:p w:rsidR="00F03143" w:rsidRPr="007E799B" w:rsidRDefault="00F03143" w:rsidP="007E799B"/>
    <w:p w:rsidR="00F03143" w:rsidRPr="00EE0122" w:rsidRDefault="00F03143" w:rsidP="002E6784">
      <w:pPr>
        <w:pStyle w:val="QU"/>
      </w:pPr>
      <w:r w:rsidRPr="00EE0122">
        <w:t>1209</w:t>
      </w:r>
      <w:r>
        <w:t xml:space="preserve">. </w:t>
      </w:r>
      <w:r w:rsidRPr="00EE0122">
        <w:t>What is the IRS position on 412(e) plans?</w:t>
      </w:r>
    </w:p>
    <w:p w:rsidR="00F03143" w:rsidRDefault="00F03143" w:rsidP="002E6784">
      <w:pPr>
        <w:pStyle w:val="PA"/>
      </w:pPr>
      <w:r w:rsidRPr="00AE5E42">
        <w:t xml:space="preserve">IRS </w:t>
      </w:r>
      <w:r>
        <w:t>classifies</w:t>
      </w:r>
      <w:r w:rsidRPr="00AE5E42">
        <w:t xml:space="preserve"> noncompliant plans into two classes: abusive and merely noncompliant.</w:t>
      </w:r>
      <w:r>
        <w:t xml:space="preserve"> </w:t>
      </w:r>
      <w:r w:rsidRPr="00AE5E42">
        <w:t>The determination of whether a plan is abusive is based on the following:</w:t>
      </w:r>
    </w:p>
    <w:p w:rsidR="00F03143" w:rsidRPr="00AE5E42" w:rsidRDefault="00F03143" w:rsidP="002E6784">
      <w:pPr>
        <w:pStyle w:val="PC"/>
        <w:rPr>
          <w:b/>
        </w:rPr>
      </w:pPr>
      <w:r>
        <w:t>1.</w:t>
      </w:r>
      <w:r>
        <w:tab/>
      </w:r>
      <w:r w:rsidRPr="00AE5E42">
        <w:t>Is the plan holding or purchasing insurance policies with springing cash values,</w:t>
      </w:r>
      <w:r>
        <w:t xml:space="preserve"> </w:t>
      </w:r>
      <w:r w:rsidRPr="00AE5E42">
        <w:t>high surrender charges</w:t>
      </w:r>
      <w:r>
        <w:t>,</w:t>
      </w:r>
      <w:r w:rsidRPr="00AE5E42">
        <w:t xml:space="preserve"> or exchange rights for policies with higher values</w:t>
      </w:r>
      <w:r>
        <w:t>?</w:t>
      </w:r>
    </w:p>
    <w:p w:rsidR="00F03143" w:rsidRPr="00AE5E42" w:rsidRDefault="00F03143" w:rsidP="002E6784">
      <w:pPr>
        <w:pStyle w:val="PC"/>
        <w:rPr>
          <w:b/>
        </w:rPr>
      </w:pPr>
      <w:r>
        <w:t>2.</w:t>
      </w:r>
      <w:r>
        <w:tab/>
      </w:r>
      <w:r w:rsidRPr="00AE5E42">
        <w:t>Is the employer manipulating coverage by firing employees or using multiple entities</w:t>
      </w:r>
      <w:r>
        <w:t>?</w:t>
      </w:r>
    </w:p>
    <w:p w:rsidR="00F03143" w:rsidRPr="00AE5E42" w:rsidRDefault="00F03143" w:rsidP="002E6784">
      <w:pPr>
        <w:pStyle w:val="PC"/>
        <w:rPr>
          <w:b/>
        </w:rPr>
      </w:pPr>
      <w:r>
        <w:t>3.</w:t>
      </w:r>
      <w:r>
        <w:tab/>
      </w:r>
      <w:r w:rsidRPr="00AE5E42">
        <w:t>Is the plan designed to discriminate in favor of highly compensated employees</w:t>
      </w:r>
      <w:r>
        <w:t>?</w:t>
      </w:r>
    </w:p>
    <w:p w:rsidR="00F03143" w:rsidRPr="00AE5E42" w:rsidRDefault="00F03143" w:rsidP="002E6784">
      <w:pPr>
        <w:pStyle w:val="PC"/>
        <w:rPr>
          <w:b/>
        </w:rPr>
      </w:pPr>
      <w:r>
        <w:t>4.</w:t>
      </w:r>
      <w:r>
        <w:tab/>
      </w:r>
      <w:r w:rsidRPr="00AE5E42">
        <w:t>Are policies being purchased with a death benefit in excess of the incidental benefits by $100,000 or more</w:t>
      </w:r>
      <w:r>
        <w:t>?</w:t>
      </w:r>
    </w:p>
    <w:p w:rsidR="00F03143" w:rsidRDefault="00F03143" w:rsidP="002E6784">
      <w:pPr>
        <w:pStyle w:val="PA"/>
      </w:pPr>
      <w:r>
        <w:t>If IRS</w:t>
      </w:r>
      <w:r w:rsidRPr="00AE5E42">
        <w:t xml:space="preserve"> determine</w:t>
      </w:r>
      <w:r>
        <w:t>s</w:t>
      </w:r>
      <w:r w:rsidRPr="00AE5E42">
        <w:t xml:space="preserve"> that the plan is abusive the plan must be terminated, </w:t>
      </w:r>
      <w:r>
        <w:t xml:space="preserve">and </w:t>
      </w:r>
      <w:r w:rsidRPr="00AE5E42">
        <w:t>all contributions become taxable subject to interest charges and penalties.</w:t>
      </w:r>
      <w:r>
        <w:t xml:space="preserve"> </w:t>
      </w:r>
      <w:r w:rsidRPr="00AE5E42">
        <w:t xml:space="preserve">If the plan is </w:t>
      </w:r>
      <w:r w:rsidRPr="00EE0122">
        <w:t>merely</w:t>
      </w:r>
      <w:r w:rsidRPr="00AE5E42">
        <w:t xml:space="preserve"> noncompliant there are two options offered by the IRS to resolve the defective plan.</w:t>
      </w:r>
      <w:r>
        <w:t xml:space="preserve"> </w:t>
      </w:r>
      <w:r w:rsidRPr="00AE5E42">
        <w:t xml:space="preserve">First the plan sponsor may terminate the plan, </w:t>
      </w:r>
      <w:r>
        <w:t xml:space="preserve">and </w:t>
      </w:r>
      <w:r w:rsidRPr="00AE5E42">
        <w:t>pay taxes, interest</w:t>
      </w:r>
      <w:r>
        <w:t>,</w:t>
      </w:r>
      <w:r w:rsidRPr="00AE5E42">
        <w:t xml:space="preserve"> and penalties on the reversed contributions and earnings.</w:t>
      </w:r>
      <w:r>
        <w:t xml:space="preserve"> This is e</w:t>
      </w:r>
      <w:r w:rsidRPr="00AE5E42">
        <w:t>ssentially the same result as the abusive plan.</w:t>
      </w:r>
      <w:r>
        <w:t xml:space="preserve"> </w:t>
      </w:r>
      <w:r w:rsidRPr="00AE5E42">
        <w:t>The second alternative is to convert the plan to a traditional defined benefit plan.</w:t>
      </w:r>
      <w:r>
        <w:t xml:space="preserve"> </w:t>
      </w:r>
    </w:p>
    <w:p w:rsidR="00F03143" w:rsidRPr="00B529A0" w:rsidRDefault="00F03143" w:rsidP="002E6784">
      <w:pPr>
        <w:pStyle w:val="PA"/>
      </w:pPr>
      <w:r>
        <w:lastRenderedPageBreak/>
        <w:t>T</w:t>
      </w:r>
      <w:r w:rsidRPr="00AE5E42">
        <w:t>he IRS has rule</w:t>
      </w:r>
      <w:r>
        <w:t>d</w:t>
      </w:r>
      <w:r w:rsidRPr="00AE5E42">
        <w:t xml:space="preserve"> in Revenue Ruling 2004-20</w:t>
      </w:r>
      <w:r w:rsidRPr="00EE0122">
        <w:rPr>
          <w:rStyle w:val="FootnoteReference"/>
        </w:rPr>
        <w:footnoteReference w:id="15"/>
      </w:r>
      <w:r w:rsidRPr="00AE5E42">
        <w:t xml:space="preserve"> that item 4 will be considered a listed transaction.</w:t>
      </w:r>
      <w:r>
        <w:t xml:space="preserve"> </w:t>
      </w:r>
      <w:r w:rsidRPr="00AE5E42">
        <w:t xml:space="preserve">A listed transaction is one in which the IRS takes the position that the transaction may not comply with the Internal </w:t>
      </w:r>
      <w:r w:rsidRPr="00EE0122">
        <w:t>Revenue</w:t>
      </w:r>
      <w:r w:rsidRPr="00AE5E42">
        <w:t xml:space="preserve"> Code and must be closely reviewed.</w:t>
      </w:r>
      <w:r>
        <w:t xml:space="preserve"> </w:t>
      </w:r>
      <w:r w:rsidRPr="00AE5E42">
        <w:t xml:space="preserve">If such a transaction exists the tax payer must file a </w:t>
      </w:r>
      <w:r>
        <w:t>F</w:t>
      </w:r>
      <w:r w:rsidRPr="00AE5E42">
        <w:t xml:space="preserve">orm 8886 with </w:t>
      </w:r>
      <w:r>
        <w:t>the</w:t>
      </w:r>
      <w:r w:rsidRPr="00AE5E42">
        <w:t xml:space="preserve"> tax return to alert the IRS of the listed transaction most likely triggering an audit.</w:t>
      </w:r>
      <w:r>
        <w:t xml:space="preserve"> </w:t>
      </w:r>
      <w:r w:rsidRPr="00AE5E42">
        <w:t xml:space="preserve">If the listed transaction is not reported to the IRS and it is uncovered on audit the corporate taxpayer is subject to a $200,000 penalty. </w:t>
      </w:r>
    </w:p>
    <w:p w:rsidR="00F03143" w:rsidRPr="007E799B" w:rsidRDefault="00F03143" w:rsidP="007E799B"/>
    <w:p w:rsidR="00F03143" w:rsidRPr="00481A1C" w:rsidRDefault="00F03143" w:rsidP="002E6784">
      <w:pPr>
        <w:pStyle w:val="HC"/>
      </w:pPr>
      <w:r>
        <w:t>Floor Offset Plans</w:t>
      </w:r>
    </w:p>
    <w:p w:rsidR="00F03143" w:rsidRPr="00481A1C" w:rsidRDefault="00F03143" w:rsidP="002E6784">
      <w:pPr>
        <w:pStyle w:val="QU"/>
      </w:pPr>
      <w:r w:rsidRPr="00481A1C">
        <w:t>1</w:t>
      </w:r>
      <w:r>
        <w:t>2</w:t>
      </w:r>
      <w:r w:rsidRPr="00481A1C">
        <w:t>10</w:t>
      </w:r>
      <w:r>
        <w:t xml:space="preserve">. </w:t>
      </w:r>
      <w:r w:rsidRPr="00481A1C">
        <w:t>What is a floor offset plan?</w:t>
      </w:r>
    </w:p>
    <w:p w:rsidR="00F03143" w:rsidRDefault="00F03143" w:rsidP="002E6784">
      <w:pPr>
        <w:pStyle w:val="PA"/>
      </w:pPr>
      <w:r w:rsidRPr="00B529A0">
        <w:t xml:space="preserve">The floor offset plan is based on a combination of a defined benefit plan and a defined contribution plan. It </w:t>
      </w:r>
      <w:r w:rsidRPr="00481A1C">
        <w:t>recognizes</w:t>
      </w:r>
      <w:r w:rsidRPr="00B529A0">
        <w:t xml:space="preserve"> that younger participants realize a considerable benefit from the effect of compound interest as compared to older participants. </w:t>
      </w:r>
    </w:p>
    <w:p w:rsidR="00F03143" w:rsidRDefault="00F03143" w:rsidP="002E6784">
      <w:pPr>
        <w:pStyle w:val="PA"/>
      </w:pPr>
      <w:r w:rsidRPr="00B529A0">
        <w:t xml:space="preserve">In application all eligible employees participate in both plans. The contribution in the defined contribution plan is projected to retirement with interest and converted to a benefit, </w:t>
      </w:r>
      <w:r w:rsidRPr="00481A1C">
        <w:t>as</w:t>
      </w:r>
      <w:r w:rsidRPr="00B529A0">
        <w:t xml:space="preserve"> in a defined benefit plan. The defined benefit plan “formula benefit” is then reduced by the benefit provided in the defined contribution plan, and the remaining benefit is funded in the defined benefit plan.</w:t>
      </w:r>
    </w:p>
    <w:p w:rsidR="00F03143" w:rsidRPr="00B529A0" w:rsidRDefault="00F03143" w:rsidP="002E6784">
      <w:pPr>
        <w:pStyle w:val="PA"/>
      </w:pPr>
      <w:r w:rsidRPr="00B529A0">
        <w:t>In a safe harbor floor offset arrangement:</w:t>
      </w:r>
      <w:r>
        <w:rPr>
          <w:rStyle w:val="FootnoteReference"/>
        </w:rPr>
        <w:footnoteReference w:id="16"/>
      </w:r>
    </w:p>
    <w:p w:rsidR="00F03143" w:rsidRPr="00481A1C" w:rsidRDefault="00F03143" w:rsidP="00F03143">
      <w:pPr>
        <w:pStyle w:val="PCB"/>
        <w:numPr>
          <w:ilvl w:val="0"/>
          <w:numId w:val="7"/>
        </w:numPr>
      </w:pPr>
      <w:r w:rsidRPr="00481A1C">
        <w:t>The defined benefit plan may not require employee mandatory contributions.</w:t>
      </w:r>
    </w:p>
    <w:p w:rsidR="00F03143" w:rsidRPr="00481A1C" w:rsidRDefault="00F03143" w:rsidP="00F03143">
      <w:pPr>
        <w:pStyle w:val="PCB"/>
        <w:numPr>
          <w:ilvl w:val="0"/>
          <w:numId w:val="7"/>
        </w:numPr>
      </w:pPr>
      <w:r w:rsidRPr="00481A1C">
        <w:t>The defined benefit plan and the defined contribution plan must benefit the same employees.</w:t>
      </w:r>
    </w:p>
    <w:p w:rsidR="00F03143" w:rsidRPr="00481A1C" w:rsidRDefault="00F03143" w:rsidP="00F03143">
      <w:pPr>
        <w:pStyle w:val="PCB"/>
        <w:numPr>
          <w:ilvl w:val="0"/>
          <w:numId w:val="7"/>
        </w:numPr>
      </w:pPr>
      <w:r w:rsidRPr="00481A1C">
        <w:t>The offset must be applied to all employees on the same terms.</w:t>
      </w:r>
    </w:p>
    <w:p w:rsidR="00F03143" w:rsidRPr="00481A1C" w:rsidRDefault="00F03143" w:rsidP="00F03143">
      <w:pPr>
        <w:pStyle w:val="PCB"/>
        <w:numPr>
          <w:ilvl w:val="0"/>
          <w:numId w:val="7"/>
        </w:numPr>
      </w:pPr>
      <w:r w:rsidRPr="00481A1C">
        <w:t>All employees in the defined contribution plan must have the same investment options available to them.</w:t>
      </w:r>
    </w:p>
    <w:p w:rsidR="00F03143" w:rsidRDefault="00F03143" w:rsidP="00F03143">
      <w:pPr>
        <w:pStyle w:val="PCB"/>
        <w:numPr>
          <w:ilvl w:val="0"/>
          <w:numId w:val="7"/>
        </w:numPr>
      </w:pPr>
      <w:r w:rsidRPr="00481A1C">
        <w:t>Nonforfeitable benefits in the defined benefit plan may be offset only by nonforfeitable benefits in the defined contribution plan</w:t>
      </w:r>
      <w:r w:rsidRPr="00B529A0">
        <w:t>.</w:t>
      </w:r>
    </w:p>
    <w:p w:rsidR="00F03143" w:rsidRPr="00B529A0" w:rsidRDefault="00F03143" w:rsidP="002E6784">
      <w:pPr>
        <w:pStyle w:val="PA"/>
      </w:pPr>
      <w:r>
        <w:t xml:space="preserve">Additionally, </w:t>
      </w:r>
      <w:r w:rsidRPr="00481A1C">
        <w:t>Revenue</w:t>
      </w:r>
      <w:r w:rsidRPr="00B529A0">
        <w:t xml:space="preserve"> Ruling 76-259</w:t>
      </w:r>
      <w:r>
        <w:rPr>
          <w:rStyle w:val="FootnoteReference"/>
        </w:rPr>
        <w:footnoteReference w:id="17"/>
      </w:r>
      <w:r w:rsidRPr="00B529A0">
        <w:t xml:space="preserve"> allow</w:t>
      </w:r>
      <w:r>
        <w:t>ed</w:t>
      </w:r>
      <w:r w:rsidRPr="00B529A0">
        <w:t xml:space="preserve"> floor offset plans </w:t>
      </w:r>
      <w:r>
        <w:t>so long as</w:t>
      </w:r>
      <w:r w:rsidRPr="00B529A0">
        <w:t>:</w:t>
      </w:r>
    </w:p>
    <w:p w:rsidR="00F03143" w:rsidRPr="00B529A0" w:rsidRDefault="00F03143" w:rsidP="002E6784">
      <w:pPr>
        <w:pStyle w:val="PC"/>
      </w:pPr>
      <w:r w:rsidRPr="00B529A0">
        <w:t>1.</w:t>
      </w:r>
      <w:r w:rsidRPr="00B529A0">
        <w:tab/>
        <w:t>The defined benefit plan provide</w:t>
      </w:r>
      <w:r>
        <w:t>s</w:t>
      </w:r>
      <w:r w:rsidRPr="00B529A0">
        <w:t xml:space="preserve"> definitely determinable benefits, i.e., the</w:t>
      </w:r>
      <w:r>
        <w:t xml:space="preserve"> </w:t>
      </w:r>
      <w:r w:rsidRPr="00B529A0">
        <w:t>benefits must preclude discretion on the part of the plan sponsor.</w:t>
      </w:r>
    </w:p>
    <w:p w:rsidR="00F03143" w:rsidRPr="00B529A0" w:rsidRDefault="00F03143" w:rsidP="002E6784">
      <w:pPr>
        <w:pStyle w:val="PC"/>
      </w:pPr>
      <w:r w:rsidRPr="00B529A0">
        <w:lastRenderedPageBreak/>
        <w:t>2.</w:t>
      </w:r>
      <w:r w:rsidRPr="00B529A0">
        <w:tab/>
        <w:t xml:space="preserve">The fact that the contribution to the defined contribution plan </w:t>
      </w:r>
      <w:r>
        <w:t>is</w:t>
      </w:r>
      <w:r w:rsidRPr="00B529A0">
        <w:t xml:space="preserve"> discretionary</w:t>
      </w:r>
      <w:r>
        <w:t xml:space="preserve"> </w:t>
      </w:r>
      <w:r w:rsidRPr="00B529A0">
        <w:t>did not cause the plan to fail requirement 1.</w:t>
      </w:r>
    </w:p>
    <w:p w:rsidR="00F03143" w:rsidRPr="00B529A0" w:rsidRDefault="00F03143" w:rsidP="002E6784">
      <w:pPr>
        <w:pStyle w:val="PC"/>
      </w:pPr>
      <w:r w:rsidRPr="00B529A0">
        <w:t>3.</w:t>
      </w:r>
      <w:r w:rsidRPr="00B529A0">
        <w:tab/>
        <w:t xml:space="preserve">The defined benefit plan must provide the actuarial basis, i.e., the assumptions, to </w:t>
      </w:r>
      <w:r>
        <w:tab/>
      </w:r>
      <w:r w:rsidRPr="00B529A0">
        <w:t>be used in determining the benefit offset from the defined contribution plan.</w:t>
      </w:r>
    </w:p>
    <w:p w:rsidR="00F03143" w:rsidRPr="00B529A0" w:rsidRDefault="00F03143" w:rsidP="002E6784">
      <w:pPr>
        <w:pStyle w:val="PC"/>
      </w:pPr>
      <w:r w:rsidRPr="00B529A0">
        <w:t>4.</w:t>
      </w:r>
      <w:r w:rsidRPr="00B529A0">
        <w:tab/>
        <w:t>The defined benefit plan must specify the time as of which the offset is to be made, precluding discretion on the part of the plan sponsor.</w:t>
      </w:r>
    </w:p>
    <w:p w:rsidR="00F03143" w:rsidRPr="007E799B" w:rsidRDefault="00F03143" w:rsidP="007E799B"/>
    <w:p w:rsidR="00F03143" w:rsidRPr="00860A3E" w:rsidRDefault="00F03143" w:rsidP="002E6784">
      <w:pPr>
        <w:pStyle w:val="QU"/>
      </w:pPr>
      <w:r w:rsidRPr="00860A3E">
        <w:t>1211</w:t>
      </w:r>
      <w:r>
        <w:t xml:space="preserve">. </w:t>
      </w:r>
      <w:r w:rsidRPr="00860A3E">
        <w:t>How is a floor offset plan funded?</w:t>
      </w:r>
    </w:p>
    <w:p w:rsidR="00F03143" w:rsidRDefault="00F03143" w:rsidP="002E6784">
      <w:pPr>
        <w:pStyle w:val="PA"/>
      </w:pPr>
      <w:r w:rsidRPr="00D058B7">
        <w:t>The original purpose of the floor offset plan was to guarantee older participants a minimum, or “floor,” benefit in the defined benefit plan, recognizing that they have less time to accumulate funds in a defined contribution plan. In a small company, such as the one used in th</w:t>
      </w:r>
      <w:r>
        <w:t>e</w:t>
      </w:r>
      <w:r w:rsidRPr="00D058B7">
        <w:t xml:space="preserve"> example</w:t>
      </w:r>
      <w:r>
        <w:t xml:space="preserve"> below</w:t>
      </w:r>
      <w:r w:rsidRPr="00D058B7">
        <w:t xml:space="preserve">, the purpose is to reduce the costs for the younger participants compared to the owners and key employees. This expected cost difference in the floor offset arrangement results from the treatment of investment gains in a defined benefit plan versus a defined contribution plan. </w:t>
      </w:r>
    </w:p>
    <w:p w:rsidR="00F03143" w:rsidRDefault="00F03143" w:rsidP="002E6784">
      <w:pPr>
        <w:pStyle w:val="PA"/>
      </w:pPr>
      <w:r w:rsidRPr="00D058B7">
        <w:t xml:space="preserve">In the defined benefit plan, the investment earnings in excess of the assumed rate of investment return reduces the contribution over time, whereas in the defined contribution plan, the “excess” investment earnings accrue to the participant’s account and increase benefits. The effect of compound interest on the account balance of a younger </w:t>
      </w:r>
      <w:r w:rsidRPr="00860A3E">
        <w:t>participant</w:t>
      </w:r>
      <w:r w:rsidRPr="00D058B7">
        <w:t xml:space="preserve"> greatly increases his or her benefit, eliminating the need to fund that benefit in the defined benefit plan; however, the relative cost effect takes time for the compounding to work. As each year progresses, the total cost for the nonhighly compensated employees will go down as more of their benefits are funded with the “excess” investment earnings in</w:t>
      </w:r>
      <w:r>
        <w:t xml:space="preserve"> the defined contribution plan.</w:t>
      </w:r>
    </w:p>
    <w:p w:rsidR="00F03143" w:rsidRDefault="00F03143" w:rsidP="002E6784">
      <w:pPr>
        <w:pStyle w:val="PN"/>
      </w:pPr>
      <w:r w:rsidRPr="00DF3C52">
        <w:rPr>
          <w:bCs/>
          <w:i/>
        </w:rPr>
        <w:t>Example.</w:t>
      </w:r>
      <w:r>
        <w:rPr>
          <w:bCs/>
        </w:rPr>
        <w:t xml:space="preserve"> </w:t>
      </w:r>
      <w:r w:rsidRPr="001017F0">
        <w:t xml:space="preserve">Consider the following defined contribution plan linked with </w:t>
      </w:r>
      <w:r>
        <w:t>a</w:t>
      </w:r>
      <w:r w:rsidRPr="001017F0">
        <w:t xml:space="preserve"> defined </w:t>
      </w:r>
      <w:r>
        <w:t>benefit plan</w:t>
      </w:r>
      <w:r w:rsidRPr="001017F0">
        <w:t>. The defined contribution plan provides for a contribution of 10 percent o</w:t>
      </w:r>
      <w:r>
        <w:t xml:space="preserve">f </w:t>
      </w:r>
      <w:r w:rsidRPr="001017F0">
        <w:t xml:space="preserve">compensation with a maximum contribution of $5,000. </w:t>
      </w:r>
      <w:r>
        <w:t xml:space="preserve">Contributions are accumulated at 5 percent interest and projected account balances are converted to monthly benefits using a conversion rate of $137.53 per dollar of benefit at age sixty-five. </w:t>
      </w:r>
      <w:r w:rsidRPr="001017F0">
        <w:t>As of the end of the first plan year</w:t>
      </w:r>
      <w:r>
        <w:t xml:space="preserve">, </w:t>
      </w:r>
      <w:r w:rsidRPr="001017F0">
        <w:t>December 31, 201</w:t>
      </w:r>
      <w:r>
        <w:t>3</w:t>
      </w:r>
      <w:r w:rsidRPr="001017F0">
        <w:t>, the participant’s accounts are:</w:t>
      </w:r>
    </w:p>
    <w:tbl>
      <w:tblPr>
        <w:tblW w:w="9012" w:type="dxa"/>
        <w:jc w:val="center"/>
        <w:tblLook w:val="04A0" w:firstRow="1" w:lastRow="0" w:firstColumn="1" w:lastColumn="0" w:noHBand="0" w:noVBand="1"/>
      </w:tblPr>
      <w:tblGrid>
        <w:gridCol w:w="772"/>
        <w:gridCol w:w="835"/>
        <w:gridCol w:w="1252"/>
        <w:gridCol w:w="1350"/>
        <w:gridCol w:w="1253"/>
        <w:gridCol w:w="1226"/>
        <w:gridCol w:w="1158"/>
        <w:gridCol w:w="1166"/>
      </w:tblGrid>
      <w:tr w:rsidR="00F03143" w:rsidRPr="00DE7E0B" w:rsidTr="002E6784">
        <w:trPr>
          <w:trHeight w:val="547"/>
          <w:jc w:val="center"/>
        </w:trPr>
        <w:tc>
          <w:tcPr>
            <w:tcW w:w="738" w:type="dxa"/>
            <w:shd w:val="clear" w:color="auto" w:fill="auto"/>
          </w:tcPr>
          <w:p w:rsidR="00F03143" w:rsidRPr="00DE7E0B" w:rsidRDefault="00F03143" w:rsidP="002E6784"/>
        </w:tc>
        <w:tc>
          <w:tcPr>
            <w:tcW w:w="846" w:type="dxa"/>
            <w:shd w:val="clear" w:color="auto" w:fill="auto"/>
            <w:vAlign w:val="bottom"/>
          </w:tcPr>
          <w:p w:rsidR="00F03143" w:rsidRPr="00922FB0" w:rsidRDefault="00F03143" w:rsidP="002E6784">
            <w:pPr>
              <w:jc w:val="center"/>
              <w:rPr>
                <w:i/>
              </w:rPr>
            </w:pPr>
            <w:r w:rsidRPr="00922FB0">
              <w:rPr>
                <w:i/>
              </w:rPr>
              <w:t>Age</w:t>
            </w:r>
          </w:p>
        </w:tc>
        <w:tc>
          <w:tcPr>
            <w:tcW w:w="1261" w:type="dxa"/>
            <w:shd w:val="clear" w:color="auto" w:fill="auto"/>
            <w:vAlign w:val="bottom"/>
          </w:tcPr>
          <w:p w:rsidR="00F03143" w:rsidRPr="00922FB0" w:rsidRDefault="00F03143" w:rsidP="002E6784">
            <w:pPr>
              <w:jc w:val="center"/>
              <w:rPr>
                <w:i/>
              </w:rPr>
            </w:pPr>
            <w:r w:rsidRPr="00922FB0">
              <w:rPr>
                <w:i/>
              </w:rPr>
              <w:t>Salary</w:t>
            </w:r>
          </w:p>
        </w:tc>
        <w:tc>
          <w:tcPr>
            <w:tcW w:w="1353" w:type="dxa"/>
            <w:shd w:val="clear" w:color="auto" w:fill="auto"/>
            <w:vAlign w:val="bottom"/>
          </w:tcPr>
          <w:p w:rsidR="00F03143" w:rsidRPr="00922FB0" w:rsidRDefault="00F03143" w:rsidP="002E6784">
            <w:pPr>
              <w:jc w:val="center"/>
              <w:rPr>
                <w:i/>
              </w:rPr>
            </w:pPr>
            <w:r w:rsidRPr="00922FB0">
              <w:rPr>
                <w:i/>
              </w:rPr>
              <w:t>201</w:t>
            </w:r>
            <w:r w:rsidR="007D418D">
              <w:rPr>
                <w:i/>
              </w:rPr>
              <w:t xml:space="preserve">5 </w:t>
            </w:r>
          </w:p>
          <w:p w:rsidR="00F03143" w:rsidRPr="00922FB0" w:rsidRDefault="00F03143" w:rsidP="002E6784">
            <w:pPr>
              <w:jc w:val="center"/>
              <w:rPr>
                <w:i/>
              </w:rPr>
            </w:pPr>
            <w:r w:rsidRPr="00922FB0">
              <w:rPr>
                <w:i/>
              </w:rPr>
              <w:t>Contribution</w:t>
            </w:r>
          </w:p>
        </w:tc>
        <w:tc>
          <w:tcPr>
            <w:tcW w:w="1257" w:type="dxa"/>
            <w:shd w:val="clear" w:color="auto" w:fill="auto"/>
            <w:vAlign w:val="bottom"/>
          </w:tcPr>
          <w:p w:rsidR="00F03143" w:rsidRPr="00922FB0" w:rsidRDefault="00F03143" w:rsidP="002E6784">
            <w:pPr>
              <w:jc w:val="center"/>
              <w:rPr>
                <w:i/>
              </w:rPr>
            </w:pPr>
            <w:r w:rsidRPr="00922FB0">
              <w:rPr>
                <w:i/>
              </w:rPr>
              <w:t>12/31/201</w:t>
            </w:r>
            <w:r w:rsidR="007D418D">
              <w:rPr>
                <w:i/>
              </w:rPr>
              <w:t xml:space="preserve">5 </w:t>
            </w:r>
          </w:p>
          <w:p w:rsidR="00F03143" w:rsidRPr="00922FB0" w:rsidRDefault="00F03143" w:rsidP="002E6784">
            <w:pPr>
              <w:jc w:val="center"/>
              <w:rPr>
                <w:i/>
              </w:rPr>
            </w:pPr>
            <w:r w:rsidRPr="00922FB0">
              <w:rPr>
                <w:i/>
              </w:rPr>
              <w:t>Acct Balance</w:t>
            </w:r>
          </w:p>
        </w:tc>
        <w:tc>
          <w:tcPr>
            <w:tcW w:w="1230" w:type="dxa"/>
            <w:shd w:val="clear" w:color="auto" w:fill="auto"/>
            <w:vAlign w:val="bottom"/>
          </w:tcPr>
          <w:p w:rsidR="00F03143" w:rsidRPr="00922FB0" w:rsidRDefault="00F03143" w:rsidP="002E6784">
            <w:pPr>
              <w:jc w:val="center"/>
              <w:rPr>
                <w:i/>
              </w:rPr>
            </w:pPr>
            <w:r w:rsidRPr="00922FB0">
              <w:rPr>
                <w:i/>
              </w:rPr>
              <w:t>Value at</w:t>
            </w:r>
          </w:p>
          <w:p w:rsidR="00F03143" w:rsidRPr="00922FB0" w:rsidRDefault="00F03143" w:rsidP="002E6784">
            <w:pPr>
              <w:jc w:val="center"/>
              <w:rPr>
                <w:i/>
              </w:rPr>
            </w:pPr>
            <w:r w:rsidRPr="00922FB0">
              <w:rPr>
                <w:i/>
              </w:rPr>
              <w:t>Retirement</w:t>
            </w:r>
          </w:p>
        </w:tc>
        <w:tc>
          <w:tcPr>
            <w:tcW w:w="1160" w:type="dxa"/>
            <w:shd w:val="clear" w:color="auto" w:fill="auto"/>
            <w:vAlign w:val="bottom"/>
          </w:tcPr>
          <w:p w:rsidR="00F03143" w:rsidRPr="00922FB0" w:rsidRDefault="00F03143" w:rsidP="002E6784">
            <w:pPr>
              <w:jc w:val="center"/>
              <w:rPr>
                <w:i/>
              </w:rPr>
            </w:pPr>
            <w:r w:rsidRPr="00922FB0">
              <w:rPr>
                <w:i/>
              </w:rPr>
              <w:t>Equivalent</w:t>
            </w:r>
          </w:p>
          <w:p w:rsidR="00F03143" w:rsidRPr="00922FB0" w:rsidRDefault="00F03143" w:rsidP="002E6784">
            <w:pPr>
              <w:jc w:val="center"/>
              <w:rPr>
                <w:i/>
              </w:rPr>
            </w:pPr>
            <w:r w:rsidRPr="00922FB0">
              <w:rPr>
                <w:i/>
              </w:rPr>
              <w:t>Benefit</w:t>
            </w:r>
          </w:p>
        </w:tc>
        <w:tc>
          <w:tcPr>
            <w:tcW w:w="1167" w:type="dxa"/>
            <w:shd w:val="clear" w:color="auto" w:fill="auto"/>
            <w:vAlign w:val="bottom"/>
          </w:tcPr>
          <w:p w:rsidR="00F03143" w:rsidRPr="00922FB0" w:rsidRDefault="00F03143" w:rsidP="002E6784">
            <w:pPr>
              <w:jc w:val="center"/>
              <w:rPr>
                <w:i/>
              </w:rPr>
            </w:pPr>
            <w:r w:rsidRPr="00922FB0">
              <w:rPr>
                <w:i/>
              </w:rPr>
              <w:t>Closing Bal</w:t>
            </w:r>
          </w:p>
          <w:p w:rsidR="00F03143" w:rsidRPr="00922FB0" w:rsidRDefault="00F03143" w:rsidP="007D418D">
            <w:pPr>
              <w:jc w:val="center"/>
              <w:rPr>
                <w:i/>
              </w:rPr>
            </w:pPr>
            <w:r w:rsidRPr="00922FB0">
              <w:rPr>
                <w:i/>
              </w:rPr>
              <w:t>12/31/201</w:t>
            </w:r>
            <w:r w:rsidR="007D418D">
              <w:rPr>
                <w:i/>
              </w:rPr>
              <w:t xml:space="preserve">5 </w:t>
            </w:r>
          </w:p>
        </w:tc>
      </w:tr>
      <w:tr w:rsidR="00F03143" w:rsidRPr="00DE7E0B" w:rsidTr="002E6784">
        <w:trPr>
          <w:jc w:val="center"/>
        </w:trPr>
        <w:tc>
          <w:tcPr>
            <w:tcW w:w="738" w:type="dxa"/>
            <w:shd w:val="clear" w:color="auto" w:fill="auto"/>
          </w:tcPr>
          <w:p w:rsidR="00F03143" w:rsidRPr="00DE7E0B" w:rsidRDefault="00F03143" w:rsidP="002E6784">
            <w:r w:rsidRPr="00DE7E0B">
              <w:t>Harold</w:t>
            </w:r>
          </w:p>
        </w:tc>
        <w:tc>
          <w:tcPr>
            <w:tcW w:w="846" w:type="dxa"/>
            <w:shd w:val="clear" w:color="auto" w:fill="auto"/>
            <w:vAlign w:val="bottom"/>
          </w:tcPr>
          <w:p w:rsidR="00F03143" w:rsidRPr="00DE7E0B" w:rsidRDefault="00F03143" w:rsidP="002E6784">
            <w:pPr>
              <w:jc w:val="center"/>
            </w:pPr>
            <w:r w:rsidRPr="00DE7E0B">
              <w:t>60</w:t>
            </w:r>
          </w:p>
        </w:tc>
        <w:tc>
          <w:tcPr>
            <w:tcW w:w="1261" w:type="dxa"/>
            <w:shd w:val="clear" w:color="auto" w:fill="auto"/>
            <w:vAlign w:val="bottom"/>
          </w:tcPr>
          <w:p w:rsidR="00F03143" w:rsidRPr="00DE7E0B" w:rsidRDefault="00F03143" w:rsidP="002E6784">
            <w:pPr>
              <w:ind w:right="135"/>
              <w:jc w:val="right"/>
            </w:pPr>
            <w:r w:rsidRPr="00DE7E0B">
              <w:t>$ 245,000</w:t>
            </w:r>
          </w:p>
        </w:tc>
        <w:tc>
          <w:tcPr>
            <w:tcW w:w="1353" w:type="dxa"/>
            <w:shd w:val="clear" w:color="auto" w:fill="auto"/>
            <w:vAlign w:val="bottom"/>
          </w:tcPr>
          <w:p w:rsidR="00F03143" w:rsidRPr="00DE7E0B" w:rsidRDefault="00F03143" w:rsidP="002E6784">
            <w:pPr>
              <w:ind w:right="256"/>
              <w:jc w:val="right"/>
            </w:pPr>
            <w:r w:rsidRPr="00DE7E0B">
              <w:t>$ 5,000</w:t>
            </w:r>
          </w:p>
        </w:tc>
        <w:tc>
          <w:tcPr>
            <w:tcW w:w="1257" w:type="dxa"/>
            <w:shd w:val="clear" w:color="auto" w:fill="auto"/>
            <w:vAlign w:val="bottom"/>
          </w:tcPr>
          <w:p w:rsidR="00F03143" w:rsidRPr="00DE7E0B" w:rsidRDefault="00F03143" w:rsidP="002E6784">
            <w:pPr>
              <w:ind w:right="225"/>
              <w:jc w:val="right"/>
            </w:pPr>
            <w:r w:rsidRPr="00DE7E0B">
              <w:t>$ 5,000</w:t>
            </w:r>
          </w:p>
        </w:tc>
        <w:tc>
          <w:tcPr>
            <w:tcW w:w="1230" w:type="dxa"/>
            <w:shd w:val="clear" w:color="auto" w:fill="auto"/>
            <w:vAlign w:val="bottom"/>
          </w:tcPr>
          <w:p w:rsidR="00F03143" w:rsidRPr="00DE7E0B" w:rsidRDefault="00F03143" w:rsidP="002E6784">
            <w:pPr>
              <w:ind w:right="129"/>
              <w:jc w:val="right"/>
            </w:pPr>
            <w:r w:rsidRPr="00DE7E0B">
              <w:t>$ 6,381</w:t>
            </w:r>
          </w:p>
        </w:tc>
        <w:tc>
          <w:tcPr>
            <w:tcW w:w="1160" w:type="dxa"/>
            <w:shd w:val="clear" w:color="auto" w:fill="auto"/>
            <w:vAlign w:val="bottom"/>
          </w:tcPr>
          <w:p w:rsidR="00F03143" w:rsidRPr="00DE7E0B" w:rsidRDefault="00F03143" w:rsidP="002E6784">
            <w:pPr>
              <w:ind w:right="145"/>
              <w:jc w:val="right"/>
            </w:pPr>
            <w:r w:rsidRPr="00DE7E0B">
              <w:t>$ 46.40</w:t>
            </w:r>
          </w:p>
        </w:tc>
        <w:tc>
          <w:tcPr>
            <w:tcW w:w="1167" w:type="dxa"/>
            <w:shd w:val="clear" w:color="auto" w:fill="auto"/>
            <w:vAlign w:val="bottom"/>
          </w:tcPr>
          <w:p w:rsidR="00F03143" w:rsidRPr="00DE7E0B" w:rsidRDefault="00F03143" w:rsidP="002E6784">
            <w:pPr>
              <w:ind w:right="183"/>
              <w:jc w:val="right"/>
            </w:pPr>
            <w:r w:rsidRPr="00DE7E0B">
              <w:t>$ 5,000</w:t>
            </w:r>
          </w:p>
        </w:tc>
      </w:tr>
      <w:tr w:rsidR="00F03143" w:rsidRPr="00DE7E0B" w:rsidTr="002E6784">
        <w:trPr>
          <w:jc w:val="center"/>
        </w:trPr>
        <w:tc>
          <w:tcPr>
            <w:tcW w:w="738" w:type="dxa"/>
            <w:shd w:val="clear" w:color="auto" w:fill="auto"/>
          </w:tcPr>
          <w:p w:rsidR="00F03143" w:rsidRPr="00DE7E0B" w:rsidRDefault="00F03143" w:rsidP="002E6784">
            <w:r w:rsidRPr="00DE7E0B">
              <w:t>John</w:t>
            </w:r>
          </w:p>
        </w:tc>
        <w:tc>
          <w:tcPr>
            <w:tcW w:w="846" w:type="dxa"/>
            <w:shd w:val="clear" w:color="auto" w:fill="auto"/>
            <w:vAlign w:val="bottom"/>
          </w:tcPr>
          <w:p w:rsidR="00F03143" w:rsidRPr="00DE7E0B" w:rsidRDefault="00F03143" w:rsidP="002E6784">
            <w:pPr>
              <w:jc w:val="center"/>
            </w:pPr>
            <w:r w:rsidRPr="00DE7E0B">
              <w:t>55</w:t>
            </w:r>
          </w:p>
        </w:tc>
        <w:tc>
          <w:tcPr>
            <w:tcW w:w="1261" w:type="dxa"/>
            <w:shd w:val="clear" w:color="auto" w:fill="auto"/>
            <w:vAlign w:val="bottom"/>
          </w:tcPr>
          <w:p w:rsidR="00F03143" w:rsidRPr="00DE7E0B" w:rsidRDefault="00F03143" w:rsidP="002E6784">
            <w:pPr>
              <w:ind w:right="135"/>
              <w:jc w:val="right"/>
            </w:pPr>
            <w:r w:rsidRPr="00DE7E0B">
              <w:t>$ 100,000</w:t>
            </w:r>
          </w:p>
        </w:tc>
        <w:tc>
          <w:tcPr>
            <w:tcW w:w="1353" w:type="dxa"/>
            <w:shd w:val="clear" w:color="auto" w:fill="auto"/>
            <w:vAlign w:val="bottom"/>
          </w:tcPr>
          <w:p w:rsidR="00F03143" w:rsidRPr="00DE7E0B" w:rsidRDefault="00F03143" w:rsidP="002E6784">
            <w:pPr>
              <w:ind w:right="256"/>
              <w:jc w:val="right"/>
            </w:pPr>
            <w:r w:rsidRPr="00DE7E0B">
              <w:t>$ 5,000</w:t>
            </w:r>
          </w:p>
        </w:tc>
        <w:tc>
          <w:tcPr>
            <w:tcW w:w="1257" w:type="dxa"/>
            <w:shd w:val="clear" w:color="auto" w:fill="auto"/>
            <w:vAlign w:val="bottom"/>
          </w:tcPr>
          <w:p w:rsidR="00F03143" w:rsidRPr="00DE7E0B" w:rsidRDefault="00F03143" w:rsidP="002E6784">
            <w:pPr>
              <w:ind w:right="225"/>
              <w:jc w:val="right"/>
            </w:pPr>
            <w:r w:rsidRPr="00DE7E0B">
              <w:t>$ 5,000</w:t>
            </w:r>
          </w:p>
        </w:tc>
        <w:tc>
          <w:tcPr>
            <w:tcW w:w="1230" w:type="dxa"/>
            <w:shd w:val="clear" w:color="auto" w:fill="auto"/>
            <w:vAlign w:val="bottom"/>
          </w:tcPr>
          <w:p w:rsidR="00F03143" w:rsidRPr="00DE7E0B" w:rsidRDefault="00F03143" w:rsidP="002E6784">
            <w:pPr>
              <w:ind w:right="129"/>
              <w:jc w:val="right"/>
            </w:pPr>
            <w:r w:rsidRPr="00DE7E0B">
              <w:t>$ 8,144</w:t>
            </w:r>
          </w:p>
        </w:tc>
        <w:tc>
          <w:tcPr>
            <w:tcW w:w="1160" w:type="dxa"/>
            <w:shd w:val="clear" w:color="auto" w:fill="auto"/>
            <w:vAlign w:val="bottom"/>
          </w:tcPr>
          <w:p w:rsidR="00F03143" w:rsidRPr="00DE7E0B" w:rsidRDefault="00F03143" w:rsidP="002E6784">
            <w:pPr>
              <w:ind w:right="145"/>
              <w:jc w:val="right"/>
            </w:pPr>
            <w:r w:rsidRPr="00DE7E0B">
              <w:t>$ 59.22</w:t>
            </w:r>
          </w:p>
        </w:tc>
        <w:tc>
          <w:tcPr>
            <w:tcW w:w="1167" w:type="dxa"/>
            <w:shd w:val="clear" w:color="auto" w:fill="auto"/>
            <w:vAlign w:val="bottom"/>
          </w:tcPr>
          <w:p w:rsidR="00F03143" w:rsidRPr="00DE7E0B" w:rsidRDefault="00F03143" w:rsidP="002E6784">
            <w:pPr>
              <w:ind w:right="183"/>
              <w:jc w:val="right"/>
            </w:pPr>
            <w:r w:rsidRPr="00DE7E0B">
              <w:t>$ 5,000</w:t>
            </w:r>
          </w:p>
        </w:tc>
      </w:tr>
      <w:tr w:rsidR="00F03143" w:rsidRPr="00DE7E0B" w:rsidTr="002E6784">
        <w:trPr>
          <w:jc w:val="center"/>
        </w:trPr>
        <w:tc>
          <w:tcPr>
            <w:tcW w:w="738" w:type="dxa"/>
            <w:shd w:val="clear" w:color="auto" w:fill="auto"/>
          </w:tcPr>
          <w:p w:rsidR="00F03143" w:rsidRPr="00DE7E0B" w:rsidRDefault="00F03143" w:rsidP="002E6784"/>
        </w:tc>
        <w:tc>
          <w:tcPr>
            <w:tcW w:w="846" w:type="dxa"/>
            <w:shd w:val="clear" w:color="auto" w:fill="auto"/>
            <w:vAlign w:val="bottom"/>
          </w:tcPr>
          <w:p w:rsidR="00F03143" w:rsidRPr="00DE7E0B" w:rsidRDefault="00F03143" w:rsidP="002E6784">
            <w:pPr>
              <w:jc w:val="center"/>
            </w:pPr>
          </w:p>
        </w:tc>
        <w:tc>
          <w:tcPr>
            <w:tcW w:w="1261" w:type="dxa"/>
            <w:shd w:val="clear" w:color="auto" w:fill="auto"/>
            <w:vAlign w:val="bottom"/>
          </w:tcPr>
          <w:p w:rsidR="00F03143" w:rsidRPr="00DE7E0B" w:rsidRDefault="00F03143" w:rsidP="002E6784">
            <w:pPr>
              <w:ind w:right="135"/>
              <w:jc w:val="right"/>
            </w:pPr>
          </w:p>
        </w:tc>
        <w:tc>
          <w:tcPr>
            <w:tcW w:w="1353" w:type="dxa"/>
            <w:shd w:val="clear" w:color="auto" w:fill="auto"/>
            <w:vAlign w:val="bottom"/>
          </w:tcPr>
          <w:p w:rsidR="00F03143" w:rsidRPr="00DE7E0B" w:rsidRDefault="00F03143" w:rsidP="002E6784">
            <w:pPr>
              <w:ind w:right="256"/>
              <w:jc w:val="right"/>
            </w:pPr>
          </w:p>
        </w:tc>
        <w:tc>
          <w:tcPr>
            <w:tcW w:w="1257" w:type="dxa"/>
            <w:shd w:val="clear" w:color="auto" w:fill="auto"/>
            <w:vAlign w:val="bottom"/>
          </w:tcPr>
          <w:p w:rsidR="00F03143" w:rsidRPr="00DE7E0B" w:rsidRDefault="00F03143" w:rsidP="002E6784">
            <w:pPr>
              <w:ind w:right="225"/>
              <w:jc w:val="right"/>
            </w:pPr>
          </w:p>
        </w:tc>
        <w:tc>
          <w:tcPr>
            <w:tcW w:w="1230" w:type="dxa"/>
            <w:shd w:val="clear" w:color="auto" w:fill="auto"/>
            <w:vAlign w:val="bottom"/>
          </w:tcPr>
          <w:p w:rsidR="00F03143" w:rsidRPr="00DE7E0B" w:rsidRDefault="00F03143" w:rsidP="002E6784">
            <w:pPr>
              <w:ind w:right="129"/>
              <w:jc w:val="right"/>
            </w:pPr>
          </w:p>
        </w:tc>
        <w:tc>
          <w:tcPr>
            <w:tcW w:w="1160" w:type="dxa"/>
            <w:shd w:val="clear" w:color="auto" w:fill="auto"/>
            <w:vAlign w:val="bottom"/>
          </w:tcPr>
          <w:p w:rsidR="00F03143" w:rsidRPr="00DE7E0B" w:rsidRDefault="00F03143" w:rsidP="002E6784">
            <w:pPr>
              <w:ind w:right="145"/>
              <w:jc w:val="right"/>
            </w:pPr>
          </w:p>
        </w:tc>
        <w:tc>
          <w:tcPr>
            <w:tcW w:w="1167" w:type="dxa"/>
            <w:shd w:val="clear" w:color="auto" w:fill="auto"/>
            <w:vAlign w:val="bottom"/>
          </w:tcPr>
          <w:p w:rsidR="00F03143" w:rsidRPr="00DE7E0B" w:rsidRDefault="00F03143" w:rsidP="002E6784">
            <w:pPr>
              <w:ind w:right="183"/>
              <w:jc w:val="right"/>
            </w:pPr>
          </w:p>
        </w:tc>
      </w:tr>
      <w:tr w:rsidR="00F03143" w:rsidRPr="00DE7E0B" w:rsidTr="002E6784">
        <w:trPr>
          <w:jc w:val="center"/>
        </w:trPr>
        <w:tc>
          <w:tcPr>
            <w:tcW w:w="738" w:type="dxa"/>
            <w:shd w:val="clear" w:color="auto" w:fill="auto"/>
          </w:tcPr>
          <w:p w:rsidR="00F03143" w:rsidRPr="00DE7E0B" w:rsidRDefault="00F03143" w:rsidP="002E6784">
            <w:r w:rsidRPr="00DE7E0B">
              <w:t>Nancy</w:t>
            </w:r>
          </w:p>
        </w:tc>
        <w:tc>
          <w:tcPr>
            <w:tcW w:w="846" w:type="dxa"/>
            <w:shd w:val="clear" w:color="auto" w:fill="auto"/>
            <w:vAlign w:val="bottom"/>
          </w:tcPr>
          <w:p w:rsidR="00F03143" w:rsidRPr="00DE7E0B" w:rsidRDefault="00F03143" w:rsidP="002E6784">
            <w:pPr>
              <w:jc w:val="center"/>
            </w:pPr>
            <w:r w:rsidRPr="00DE7E0B">
              <w:t>42</w:t>
            </w:r>
          </w:p>
        </w:tc>
        <w:tc>
          <w:tcPr>
            <w:tcW w:w="1261" w:type="dxa"/>
            <w:shd w:val="clear" w:color="auto" w:fill="auto"/>
            <w:vAlign w:val="bottom"/>
          </w:tcPr>
          <w:p w:rsidR="00F03143" w:rsidRPr="00DE7E0B" w:rsidRDefault="00F03143" w:rsidP="002E6784">
            <w:pPr>
              <w:ind w:right="135"/>
              <w:jc w:val="right"/>
            </w:pPr>
            <w:r w:rsidRPr="00DE7E0B">
              <w:t>$ 25,000</w:t>
            </w:r>
          </w:p>
        </w:tc>
        <w:tc>
          <w:tcPr>
            <w:tcW w:w="1353" w:type="dxa"/>
            <w:shd w:val="clear" w:color="auto" w:fill="auto"/>
            <w:vAlign w:val="bottom"/>
          </w:tcPr>
          <w:p w:rsidR="00F03143" w:rsidRPr="00DE7E0B" w:rsidRDefault="00F03143" w:rsidP="002E6784">
            <w:pPr>
              <w:ind w:right="256"/>
              <w:jc w:val="right"/>
            </w:pPr>
            <w:r w:rsidRPr="00DE7E0B">
              <w:t>$ 2,500</w:t>
            </w:r>
          </w:p>
        </w:tc>
        <w:tc>
          <w:tcPr>
            <w:tcW w:w="1257" w:type="dxa"/>
            <w:shd w:val="clear" w:color="auto" w:fill="auto"/>
            <w:vAlign w:val="bottom"/>
          </w:tcPr>
          <w:p w:rsidR="00F03143" w:rsidRPr="00DE7E0B" w:rsidRDefault="00F03143" w:rsidP="002E6784">
            <w:pPr>
              <w:ind w:right="225"/>
              <w:jc w:val="right"/>
            </w:pPr>
            <w:r w:rsidRPr="00DE7E0B">
              <w:t>$ 2,500</w:t>
            </w:r>
          </w:p>
        </w:tc>
        <w:tc>
          <w:tcPr>
            <w:tcW w:w="1230" w:type="dxa"/>
            <w:shd w:val="clear" w:color="auto" w:fill="auto"/>
            <w:vAlign w:val="bottom"/>
          </w:tcPr>
          <w:p w:rsidR="00F03143" w:rsidRPr="00DE7E0B" w:rsidRDefault="00F03143" w:rsidP="002E6784">
            <w:pPr>
              <w:ind w:right="129"/>
              <w:jc w:val="right"/>
            </w:pPr>
            <w:r w:rsidRPr="00DE7E0B">
              <w:t>$ 7,679</w:t>
            </w:r>
          </w:p>
        </w:tc>
        <w:tc>
          <w:tcPr>
            <w:tcW w:w="1160" w:type="dxa"/>
            <w:shd w:val="clear" w:color="auto" w:fill="auto"/>
            <w:vAlign w:val="bottom"/>
          </w:tcPr>
          <w:p w:rsidR="00F03143" w:rsidRPr="00DE7E0B" w:rsidRDefault="00F03143" w:rsidP="002E6784">
            <w:pPr>
              <w:ind w:right="145"/>
              <w:jc w:val="right"/>
            </w:pPr>
            <w:r w:rsidRPr="00DE7E0B">
              <w:t>$ 55.84</w:t>
            </w:r>
          </w:p>
        </w:tc>
        <w:tc>
          <w:tcPr>
            <w:tcW w:w="1167" w:type="dxa"/>
            <w:shd w:val="clear" w:color="auto" w:fill="auto"/>
            <w:vAlign w:val="bottom"/>
          </w:tcPr>
          <w:p w:rsidR="00F03143" w:rsidRPr="00DE7E0B" w:rsidRDefault="00F03143" w:rsidP="002E6784">
            <w:pPr>
              <w:ind w:right="183"/>
              <w:jc w:val="right"/>
            </w:pPr>
            <w:r w:rsidRPr="00DE7E0B">
              <w:t>$ 2,500</w:t>
            </w:r>
          </w:p>
        </w:tc>
      </w:tr>
      <w:tr w:rsidR="00F03143" w:rsidRPr="00DE7E0B" w:rsidTr="002E6784">
        <w:trPr>
          <w:jc w:val="center"/>
        </w:trPr>
        <w:tc>
          <w:tcPr>
            <w:tcW w:w="738" w:type="dxa"/>
            <w:shd w:val="clear" w:color="auto" w:fill="auto"/>
          </w:tcPr>
          <w:p w:rsidR="00F03143" w:rsidRPr="00DE7E0B" w:rsidRDefault="00F03143" w:rsidP="002E6784">
            <w:r w:rsidRPr="00DE7E0B">
              <w:t>Max</w:t>
            </w:r>
          </w:p>
        </w:tc>
        <w:tc>
          <w:tcPr>
            <w:tcW w:w="846" w:type="dxa"/>
            <w:shd w:val="clear" w:color="auto" w:fill="auto"/>
            <w:vAlign w:val="bottom"/>
          </w:tcPr>
          <w:p w:rsidR="00F03143" w:rsidRPr="00DE7E0B" w:rsidRDefault="00F03143" w:rsidP="002E6784">
            <w:pPr>
              <w:jc w:val="center"/>
            </w:pPr>
            <w:r w:rsidRPr="00DE7E0B">
              <w:t>38</w:t>
            </w:r>
          </w:p>
        </w:tc>
        <w:tc>
          <w:tcPr>
            <w:tcW w:w="1261" w:type="dxa"/>
            <w:shd w:val="clear" w:color="auto" w:fill="auto"/>
            <w:vAlign w:val="bottom"/>
          </w:tcPr>
          <w:p w:rsidR="00F03143" w:rsidRPr="00DE7E0B" w:rsidRDefault="00F03143" w:rsidP="002E6784">
            <w:pPr>
              <w:ind w:right="135"/>
              <w:jc w:val="right"/>
            </w:pPr>
            <w:r w:rsidRPr="00DE7E0B">
              <w:t>$ 35,000</w:t>
            </w:r>
          </w:p>
        </w:tc>
        <w:tc>
          <w:tcPr>
            <w:tcW w:w="1353" w:type="dxa"/>
            <w:shd w:val="clear" w:color="auto" w:fill="auto"/>
            <w:vAlign w:val="bottom"/>
          </w:tcPr>
          <w:p w:rsidR="00F03143" w:rsidRPr="00DE7E0B" w:rsidRDefault="00F03143" w:rsidP="002E6784">
            <w:pPr>
              <w:ind w:right="256"/>
              <w:jc w:val="right"/>
            </w:pPr>
            <w:r w:rsidRPr="00DE7E0B">
              <w:t>$ 3,500</w:t>
            </w:r>
          </w:p>
        </w:tc>
        <w:tc>
          <w:tcPr>
            <w:tcW w:w="1257" w:type="dxa"/>
            <w:shd w:val="clear" w:color="auto" w:fill="auto"/>
            <w:vAlign w:val="bottom"/>
          </w:tcPr>
          <w:p w:rsidR="00F03143" w:rsidRPr="00DE7E0B" w:rsidRDefault="00F03143" w:rsidP="002E6784">
            <w:pPr>
              <w:ind w:right="225"/>
              <w:jc w:val="right"/>
            </w:pPr>
            <w:r w:rsidRPr="00DE7E0B">
              <w:t>$ 3,500</w:t>
            </w:r>
          </w:p>
        </w:tc>
        <w:tc>
          <w:tcPr>
            <w:tcW w:w="1230" w:type="dxa"/>
            <w:shd w:val="clear" w:color="auto" w:fill="auto"/>
            <w:vAlign w:val="bottom"/>
          </w:tcPr>
          <w:p w:rsidR="00F03143" w:rsidRPr="00DE7E0B" w:rsidRDefault="00F03143" w:rsidP="002E6784">
            <w:pPr>
              <w:ind w:right="129"/>
              <w:jc w:val="right"/>
            </w:pPr>
            <w:r w:rsidRPr="00DE7E0B">
              <w:t>$ 13,067</w:t>
            </w:r>
          </w:p>
        </w:tc>
        <w:tc>
          <w:tcPr>
            <w:tcW w:w="1160" w:type="dxa"/>
            <w:shd w:val="clear" w:color="auto" w:fill="auto"/>
            <w:vAlign w:val="bottom"/>
          </w:tcPr>
          <w:p w:rsidR="00F03143" w:rsidRPr="00DE7E0B" w:rsidRDefault="00F03143" w:rsidP="002E6784">
            <w:pPr>
              <w:ind w:right="145"/>
              <w:jc w:val="right"/>
            </w:pPr>
            <w:r w:rsidRPr="00DE7E0B">
              <w:t>$ 95.02</w:t>
            </w:r>
          </w:p>
        </w:tc>
        <w:tc>
          <w:tcPr>
            <w:tcW w:w="1167" w:type="dxa"/>
            <w:shd w:val="clear" w:color="auto" w:fill="auto"/>
            <w:vAlign w:val="bottom"/>
          </w:tcPr>
          <w:p w:rsidR="00F03143" w:rsidRPr="00DE7E0B" w:rsidRDefault="00F03143" w:rsidP="002E6784">
            <w:pPr>
              <w:ind w:right="183"/>
              <w:jc w:val="right"/>
            </w:pPr>
            <w:r w:rsidRPr="00DE7E0B">
              <w:t>$ 3,500</w:t>
            </w:r>
          </w:p>
        </w:tc>
      </w:tr>
      <w:tr w:rsidR="00F03143" w:rsidRPr="00DE7E0B" w:rsidTr="002E6784">
        <w:trPr>
          <w:jc w:val="center"/>
        </w:trPr>
        <w:tc>
          <w:tcPr>
            <w:tcW w:w="738" w:type="dxa"/>
            <w:shd w:val="clear" w:color="auto" w:fill="auto"/>
          </w:tcPr>
          <w:p w:rsidR="00F03143" w:rsidRPr="00DE7E0B" w:rsidRDefault="00F03143" w:rsidP="002E6784">
            <w:r w:rsidRPr="00DE7E0B">
              <w:t>Louis</w:t>
            </w:r>
          </w:p>
        </w:tc>
        <w:tc>
          <w:tcPr>
            <w:tcW w:w="846" w:type="dxa"/>
            <w:shd w:val="clear" w:color="auto" w:fill="auto"/>
            <w:vAlign w:val="bottom"/>
          </w:tcPr>
          <w:p w:rsidR="00F03143" w:rsidRPr="00DE7E0B" w:rsidRDefault="00F03143" w:rsidP="002E6784">
            <w:pPr>
              <w:jc w:val="center"/>
            </w:pPr>
            <w:r w:rsidRPr="00DE7E0B">
              <w:t>29</w:t>
            </w:r>
          </w:p>
        </w:tc>
        <w:tc>
          <w:tcPr>
            <w:tcW w:w="1261" w:type="dxa"/>
            <w:shd w:val="clear" w:color="auto" w:fill="auto"/>
            <w:vAlign w:val="bottom"/>
          </w:tcPr>
          <w:p w:rsidR="00F03143" w:rsidRPr="00DE7E0B" w:rsidRDefault="00F03143" w:rsidP="002E6784">
            <w:pPr>
              <w:ind w:right="135"/>
              <w:jc w:val="right"/>
            </w:pPr>
            <w:r w:rsidRPr="00DE7E0B">
              <w:t>$ 28,000</w:t>
            </w:r>
          </w:p>
        </w:tc>
        <w:tc>
          <w:tcPr>
            <w:tcW w:w="1353" w:type="dxa"/>
            <w:shd w:val="clear" w:color="auto" w:fill="auto"/>
            <w:vAlign w:val="bottom"/>
          </w:tcPr>
          <w:p w:rsidR="00F03143" w:rsidRPr="00DE7E0B" w:rsidRDefault="00F03143" w:rsidP="002E6784">
            <w:pPr>
              <w:ind w:right="256"/>
              <w:jc w:val="right"/>
            </w:pPr>
            <w:r w:rsidRPr="00DE7E0B">
              <w:t>$ 2,800</w:t>
            </w:r>
          </w:p>
        </w:tc>
        <w:tc>
          <w:tcPr>
            <w:tcW w:w="1257" w:type="dxa"/>
            <w:shd w:val="clear" w:color="auto" w:fill="auto"/>
            <w:vAlign w:val="bottom"/>
          </w:tcPr>
          <w:p w:rsidR="00F03143" w:rsidRPr="00DE7E0B" w:rsidRDefault="00F03143" w:rsidP="002E6784">
            <w:pPr>
              <w:ind w:right="225"/>
              <w:jc w:val="right"/>
            </w:pPr>
            <w:r w:rsidRPr="00DE7E0B">
              <w:t>$ 2,800</w:t>
            </w:r>
          </w:p>
        </w:tc>
        <w:tc>
          <w:tcPr>
            <w:tcW w:w="1230" w:type="dxa"/>
            <w:shd w:val="clear" w:color="auto" w:fill="auto"/>
            <w:vAlign w:val="bottom"/>
          </w:tcPr>
          <w:p w:rsidR="00F03143" w:rsidRPr="00DE7E0B" w:rsidRDefault="00F03143" w:rsidP="002E6784">
            <w:pPr>
              <w:ind w:right="129"/>
              <w:jc w:val="right"/>
            </w:pPr>
            <w:r w:rsidRPr="00DE7E0B">
              <w:t>$ 16,217</w:t>
            </w:r>
          </w:p>
        </w:tc>
        <w:tc>
          <w:tcPr>
            <w:tcW w:w="1160" w:type="dxa"/>
            <w:shd w:val="clear" w:color="auto" w:fill="auto"/>
            <w:vAlign w:val="bottom"/>
          </w:tcPr>
          <w:p w:rsidR="00F03143" w:rsidRPr="00DE7E0B" w:rsidRDefault="00F03143" w:rsidP="002E6784">
            <w:pPr>
              <w:ind w:right="145"/>
              <w:jc w:val="right"/>
            </w:pPr>
            <w:r w:rsidRPr="00DE7E0B">
              <w:t>$ 117.93</w:t>
            </w:r>
          </w:p>
        </w:tc>
        <w:tc>
          <w:tcPr>
            <w:tcW w:w="1167" w:type="dxa"/>
            <w:shd w:val="clear" w:color="auto" w:fill="auto"/>
            <w:vAlign w:val="bottom"/>
          </w:tcPr>
          <w:p w:rsidR="00F03143" w:rsidRPr="00DE7E0B" w:rsidRDefault="00F03143" w:rsidP="002E6784">
            <w:pPr>
              <w:ind w:right="183"/>
              <w:jc w:val="right"/>
            </w:pPr>
            <w:r w:rsidRPr="00DE7E0B">
              <w:t>$ 2,800</w:t>
            </w:r>
          </w:p>
        </w:tc>
      </w:tr>
      <w:tr w:rsidR="00F03143" w:rsidRPr="00DE7E0B" w:rsidTr="002E6784">
        <w:trPr>
          <w:jc w:val="center"/>
        </w:trPr>
        <w:tc>
          <w:tcPr>
            <w:tcW w:w="738" w:type="dxa"/>
            <w:shd w:val="clear" w:color="auto" w:fill="auto"/>
          </w:tcPr>
          <w:p w:rsidR="00F03143" w:rsidRPr="00DE7E0B" w:rsidRDefault="00F03143" w:rsidP="002E6784">
            <w:r w:rsidRPr="00DE7E0B">
              <w:t>Randy</w:t>
            </w:r>
          </w:p>
        </w:tc>
        <w:tc>
          <w:tcPr>
            <w:tcW w:w="846" w:type="dxa"/>
            <w:shd w:val="clear" w:color="auto" w:fill="auto"/>
            <w:vAlign w:val="bottom"/>
          </w:tcPr>
          <w:p w:rsidR="00F03143" w:rsidRPr="00DE7E0B" w:rsidRDefault="00F03143" w:rsidP="002E6784">
            <w:pPr>
              <w:jc w:val="center"/>
            </w:pPr>
            <w:r w:rsidRPr="00DE7E0B">
              <w:t>45</w:t>
            </w:r>
          </w:p>
        </w:tc>
        <w:tc>
          <w:tcPr>
            <w:tcW w:w="1261" w:type="dxa"/>
            <w:shd w:val="clear" w:color="auto" w:fill="auto"/>
            <w:vAlign w:val="bottom"/>
          </w:tcPr>
          <w:p w:rsidR="00F03143" w:rsidRPr="00DE7E0B" w:rsidRDefault="00F03143" w:rsidP="002E6784">
            <w:pPr>
              <w:ind w:right="135"/>
              <w:jc w:val="right"/>
            </w:pPr>
            <w:r w:rsidRPr="00DE7E0B">
              <w:t>$ 50,000</w:t>
            </w:r>
          </w:p>
        </w:tc>
        <w:tc>
          <w:tcPr>
            <w:tcW w:w="1353" w:type="dxa"/>
            <w:shd w:val="clear" w:color="auto" w:fill="auto"/>
            <w:vAlign w:val="bottom"/>
          </w:tcPr>
          <w:p w:rsidR="00F03143" w:rsidRPr="00DE7E0B" w:rsidRDefault="00F03143" w:rsidP="002E6784">
            <w:pPr>
              <w:ind w:right="256"/>
              <w:jc w:val="right"/>
            </w:pPr>
            <w:r w:rsidRPr="00DE7E0B">
              <w:t>$ 5,000</w:t>
            </w:r>
          </w:p>
        </w:tc>
        <w:tc>
          <w:tcPr>
            <w:tcW w:w="1257" w:type="dxa"/>
            <w:shd w:val="clear" w:color="auto" w:fill="auto"/>
            <w:vAlign w:val="bottom"/>
          </w:tcPr>
          <w:p w:rsidR="00F03143" w:rsidRPr="00DE7E0B" w:rsidRDefault="00F03143" w:rsidP="002E6784">
            <w:pPr>
              <w:ind w:right="225"/>
              <w:jc w:val="right"/>
            </w:pPr>
            <w:r w:rsidRPr="00DE7E0B">
              <w:t>$ 5,000</w:t>
            </w:r>
          </w:p>
        </w:tc>
        <w:tc>
          <w:tcPr>
            <w:tcW w:w="1230" w:type="dxa"/>
            <w:shd w:val="clear" w:color="auto" w:fill="auto"/>
            <w:vAlign w:val="bottom"/>
          </w:tcPr>
          <w:p w:rsidR="00F03143" w:rsidRPr="00DE7E0B" w:rsidRDefault="00F03143" w:rsidP="002E6784">
            <w:pPr>
              <w:ind w:right="129"/>
              <w:jc w:val="right"/>
            </w:pPr>
            <w:r w:rsidRPr="00DE7E0B">
              <w:t>$ 13,266</w:t>
            </w:r>
          </w:p>
        </w:tc>
        <w:tc>
          <w:tcPr>
            <w:tcW w:w="1160" w:type="dxa"/>
            <w:shd w:val="clear" w:color="auto" w:fill="auto"/>
            <w:vAlign w:val="bottom"/>
          </w:tcPr>
          <w:p w:rsidR="00F03143" w:rsidRPr="00DE7E0B" w:rsidRDefault="00F03143" w:rsidP="002E6784">
            <w:pPr>
              <w:ind w:right="145"/>
              <w:jc w:val="right"/>
            </w:pPr>
            <w:r w:rsidRPr="00DE7E0B">
              <w:t>$ 96.47</w:t>
            </w:r>
          </w:p>
        </w:tc>
        <w:tc>
          <w:tcPr>
            <w:tcW w:w="1167" w:type="dxa"/>
            <w:shd w:val="clear" w:color="auto" w:fill="auto"/>
            <w:vAlign w:val="bottom"/>
          </w:tcPr>
          <w:p w:rsidR="00F03143" w:rsidRPr="00DE7E0B" w:rsidRDefault="00F03143" w:rsidP="002E6784">
            <w:pPr>
              <w:ind w:right="183"/>
              <w:jc w:val="right"/>
            </w:pPr>
            <w:r w:rsidRPr="00DE7E0B">
              <w:t>$ 5,000</w:t>
            </w:r>
          </w:p>
        </w:tc>
      </w:tr>
      <w:tr w:rsidR="00F03143" w:rsidRPr="00DE7E0B" w:rsidTr="002E6784">
        <w:trPr>
          <w:jc w:val="center"/>
        </w:trPr>
        <w:tc>
          <w:tcPr>
            <w:tcW w:w="738" w:type="dxa"/>
            <w:shd w:val="clear" w:color="auto" w:fill="auto"/>
          </w:tcPr>
          <w:p w:rsidR="00F03143" w:rsidRPr="00DE7E0B" w:rsidRDefault="00F03143" w:rsidP="002E6784">
            <w:r w:rsidRPr="00DE7E0B">
              <w:t>Jesse</w:t>
            </w:r>
          </w:p>
        </w:tc>
        <w:tc>
          <w:tcPr>
            <w:tcW w:w="846" w:type="dxa"/>
            <w:shd w:val="clear" w:color="auto" w:fill="auto"/>
            <w:vAlign w:val="bottom"/>
          </w:tcPr>
          <w:p w:rsidR="00F03143" w:rsidRPr="00DE7E0B" w:rsidRDefault="00F03143" w:rsidP="002E6784">
            <w:pPr>
              <w:jc w:val="center"/>
            </w:pPr>
            <w:r w:rsidRPr="00DE7E0B">
              <w:t>25</w:t>
            </w:r>
          </w:p>
        </w:tc>
        <w:tc>
          <w:tcPr>
            <w:tcW w:w="1261" w:type="dxa"/>
            <w:shd w:val="clear" w:color="auto" w:fill="auto"/>
            <w:vAlign w:val="bottom"/>
          </w:tcPr>
          <w:p w:rsidR="00F03143" w:rsidRPr="00DE7E0B" w:rsidRDefault="00F03143" w:rsidP="002E6784">
            <w:pPr>
              <w:ind w:right="135"/>
              <w:jc w:val="right"/>
            </w:pPr>
            <w:r w:rsidRPr="00DE7E0B">
              <w:t>$ 18,000</w:t>
            </w:r>
          </w:p>
        </w:tc>
        <w:tc>
          <w:tcPr>
            <w:tcW w:w="1353" w:type="dxa"/>
            <w:shd w:val="clear" w:color="auto" w:fill="auto"/>
            <w:vAlign w:val="bottom"/>
          </w:tcPr>
          <w:p w:rsidR="00F03143" w:rsidRPr="00DE7E0B" w:rsidRDefault="00F03143" w:rsidP="002E6784">
            <w:pPr>
              <w:ind w:right="256"/>
              <w:jc w:val="right"/>
            </w:pPr>
            <w:r w:rsidRPr="00DE7E0B">
              <w:t>$ 1,800</w:t>
            </w:r>
          </w:p>
        </w:tc>
        <w:tc>
          <w:tcPr>
            <w:tcW w:w="1257" w:type="dxa"/>
            <w:shd w:val="clear" w:color="auto" w:fill="auto"/>
            <w:vAlign w:val="bottom"/>
          </w:tcPr>
          <w:p w:rsidR="00F03143" w:rsidRPr="00DE7E0B" w:rsidRDefault="00F03143" w:rsidP="002E6784">
            <w:pPr>
              <w:ind w:right="225"/>
              <w:jc w:val="right"/>
            </w:pPr>
            <w:r w:rsidRPr="00DE7E0B">
              <w:t>$ 1,800</w:t>
            </w:r>
          </w:p>
        </w:tc>
        <w:tc>
          <w:tcPr>
            <w:tcW w:w="1230" w:type="dxa"/>
            <w:shd w:val="clear" w:color="auto" w:fill="auto"/>
            <w:vAlign w:val="bottom"/>
          </w:tcPr>
          <w:p w:rsidR="00F03143" w:rsidRPr="00DE7E0B" w:rsidRDefault="00F03143" w:rsidP="002E6784">
            <w:pPr>
              <w:ind w:right="129"/>
              <w:jc w:val="right"/>
            </w:pPr>
            <w:r w:rsidRPr="00DE7E0B">
              <w:t>$ 12,672</w:t>
            </w:r>
          </w:p>
        </w:tc>
        <w:tc>
          <w:tcPr>
            <w:tcW w:w="1160" w:type="dxa"/>
            <w:shd w:val="clear" w:color="auto" w:fill="auto"/>
            <w:vAlign w:val="bottom"/>
          </w:tcPr>
          <w:p w:rsidR="00F03143" w:rsidRPr="00DE7E0B" w:rsidRDefault="00F03143" w:rsidP="002E6784">
            <w:pPr>
              <w:ind w:right="145"/>
              <w:jc w:val="right"/>
            </w:pPr>
            <w:r w:rsidRPr="00DE7E0B">
              <w:t>$ 92.15</w:t>
            </w:r>
          </w:p>
        </w:tc>
        <w:tc>
          <w:tcPr>
            <w:tcW w:w="1167" w:type="dxa"/>
            <w:shd w:val="clear" w:color="auto" w:fill="auto"/>
            <w:vAlign w:val="bottom"/>
          </w:tcPr>
          <w:p w:rsidR="00F03143" w:rsidRPr="00DE7E0B" w:rsidRDefault="00F03143" w:rsidP="002E6784">
            <w:pPr>
              <w:ind w:right="183"/>
              <w:jc w:val="right"/>
            </w:pPr>
            <w:r w:rsidRPr="00DE7E0B">
              <w:t>$ 1,800</w:t>
            </w:r>
          </w:p>
        </w:tc>
      </w:tr>
    </w:tbl>
    <w:p w:rsidR="007D418D" w:rsidRDefault="008030B2" w:rsidP="002E6784">
      <w:pPr>
        <w:pStyle w:val="PN"/>
        <w:spacing w:before="240"/>
      </w:pPr>
      <w:r>
        <w:rPr>
          <w:noProof/>
        </w:rPr>
        <mc:AlternateContent>
          <mc:Choice Requires="wps">
            <w:drawing>
              <wp:anchor distT="0" distB="0" distL="114300" distR="114300" simplePos="0" relativeHeight="251664384" behindDoc="0" locked="0" layoutInCell="1" allowOverlap="1" wp14:anchorId="63C50B13" wp14:editId="1946BA23">
                <wp:simplePos x="0" y="0"/>
                <wp:positionH relativeFrom="column">
                  <wp:posOffset>1435100</wp:posOffset>
                </wp:positionH>
                <wp:positionV relativeFrom="paragraph">
                  <wp:posOffset>100965</wp:posOffset>
                </wp:positionV>
                <wp:extent cx="2616200" cy="245745"/>
                <wp:effectExtent l="12700" t="6985" r="952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45745"/>
                        </a:xfrm>
                        <a:prstGeom prst="rect">
                          <a:avLst/>
                        </a:prstGeom>
                        <a:solidFill>
                          <a:srgbClr val="FFFFFF"/>
                        </a:solidFill>
                        <a:ln w="9525">
                          <a:solidFill>
                            <a:srgbClr val="000000"/>
                          </a:solidFill>
                          <a:miter lim="800000"/>
                          <a:headEnd/>
                          <a:tailEnd/>
                        </a:ln>
                      </wps:spPr>
                      <wps:txbx>
                        <w:txbxContent>
                          <w:p w:rsidR="002E6784" w:rsidRDefault="002E6784">
                            <w:r>
                              <w:t>Leave a blank line after the column headings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3pt;margin-top:7.95pt;width:206pt;height:19.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SZKQIAAFcEAAAOAAAAZHJzL2Uyb0RvYy54bWysVNuO0zAQfUfiHyy/07RRW3ajpqulSxHS&#10;siDt8gGO4yQWvjF2myxfz9hJS7m9IPJgeezxmZlzZrK5GbQiRwFeWlPSxWxOiTDc1tK0Jf38tH91&#10;RYkPzNRMWSNK+iw8vdm+fLHpXSFy21lVCyAIYnzRu5J2IbgiyzzvhGZ+Zp0weNlY0CygCW1WA+sR&#10;Xassn8/XWW+hdmC58B5P78ZLuk34TSN4+Ng0XgSiSoq5hbRCWqu4ZtsNK1pgrpN8SoP9QxaaSYNB&#10;z1B3LDByAPkblJYcrLdNmHGrM9s0kotUA1azmP9SzWPHnEi1IDnenWny/w+WPxw/AZF1SXNKDNMo&#10;0ZMYAnljB7KM7PTOF+j06NAtDHiMKqdKvbu3/Isnxu46ZlpxC2D7TrAas1vEl9nF0xHHR5Cq/2Br&#10;DMMOwSagoQEdqUMyCKKjSs9nZWIqHA/z9WKNclPC8S5frl4vVykEK06vHfjwTlhN4qakgMondHa8&#10;9yFmw4qTSwzmrZL1XiqVDGirnQJyZNgl+/RN6D+5KUP6kl6v8tVIwF8h5un7E4SWAdtdSV3Sq7MT&#10;KyJtb02dmjEwqcY9pqzMxGOkbiQxDNUwCTbJU9n6GYkFO3Y3TiNuOgvfKOmxs0vqvx4YCErUe4Pi&#10;XC+WyzgKyUAqczTg8qa6vGGGI1RJAyXjdhfG8Tk4kG2HkU7tcIuC7mXiOio/ZjWlj92bJJgmLY7H&#10;pZ28fvwPtt8BAAD//wMAUEsDBBQABgAIAAAAIQDNTLwH3QAAAAkBAAAPAAAAZHJzL2Rvd25yZXYu&#10;eG1sTI/BTsMwEETvSPyDtUhcKuqQEqukcSqo1BOnhnJ3420SEa9D7Lbp37Oc6HFnRrNvivXkenHG&#10;MXSeNDzPExBItbcdNRr2n9unJYgQDVnTe0INVwywLu/vCpNbf6EdnqvYCC6hkBsNbYxDLmWoW3Qm&#10;zP2AxN7Rj85EPsdG2tFcuNz1Mk0SJZ3piD+0ZsBNi/V3dXIa1E+1mH182Rntrtv3sXaZ3ewzrR8f&#10;prcViIhT/A/DHz6jQ8lMB38iG0SvIU0Vb4lsZK8gOKAWSxYOGrIXBbIs5O2C8hcAAP//AwBQSwEC&#10;LQAUAAYACAAAACEAtoM4kv4AAADhAQAAEwAAAAAAAAAAAAAAAAAAAAAAW0NvbnRlbnRfVHlwZXNd&#10;LnhtbFBLAQItABQABgAIAAAAIQA4/SH/1gAAAJQBAAALAAAAAAAAAAAAAAAAAC8BAABfcmVscy8u&#10;cmVsc1BLAQItABQABgAIAAAAIQD3r2SZKQIAAFcEAAAOAAAAAAAAAAAAAAAAAC4CAABkcnMvZTJv&#10;RG9jLnhtbFBLAQItABQABgAIAAAAIQDNTLwH3QAAAAkBAAAPAAAAAAAAAAAAAAAAAIMEAABkcnMv&#10;ZG93bnJldi54bWxQSwUGAAAAAAQABADzAAAAjQUAAAAA&#10;">
                <v:textbox style="mso-fit-shape-to-text:t">
                  <w:txbxContent>
                    <w:p w:rsidR="002E6784" w:rsidRDefault="002E6784">
                      <w:r>
                        <w:t>Leave a blank line after the column headings</w:t>
                      </w:r>
                    </w:p>
                  </w:txbxContent>
                </v:textbox>
              </v:shape>
            </w:pict>
          </mc:Fallback>
        </mc:AlternateContent>
      </w:r>
    </w:p>
    <w:p w:rsidR="00F03143" w:rsidRPr="003E13C0" w:rsidRDefault="00F03143" w:rsidP="002E6784">
      <w:pPr>
        <w:pStyle w:val="PN"/>
        <w:spacing w:before="240"/>
      </w:pPr>
      <w:r w:rsidRPr="003E13C0">
        <w:lastRenderedPageBreak/>
        <w:t xml:space="preserve">For each participant, the floor offset plan calculates the value of the account at retirement age by projecting the account balance at the same rate of return that is being used in the </w:t>
      </w:r>
      <w:r>
        <w:t>defined benefit plan</w:t>
      </w:r>
      <w:r w:rsidRPr="003E13C0">
        <w:t xml:space="preserve">. </w:t>
      </w:r>
      <w:r>
        <w:t xml:space="preserve">For simplicity we have used 5 percent. </w:t>
      </w:r>
      <w:r w:rsidRPr="003E13C0">
        <w:t xml:space="preserve">The projected balance at retirement is then converted to a monthly benefit using the same assumptions as in the defined benefit plan (1983 individual annuity mortality (IAM) male rates at 5 percent). </w:t>
      </w:r>
      <w:r>
        <w:t xml:space="preserve">Harold </w:t>
      </w:r>
      <w:r w:rsidRPr="003E13C0">
        <w:t>will have an account balance of $</w:t>
      </w:r>
      <w:r>
        <w:t>6,381</w:t>
      </w:r>
      <w:r w:rsidRPr="003E13C0">
        <w:t xml:space="preserve"> at age </w:t>
      </w:r>
      <w:r>
        <w:t>sixty-five</w:t>
      </w:r>
      <w:r w:rsidRPr="003E13C0">
        <w:t xml:space="preserve"> (the first year’s contribution of $5,000 with interest for </w:t>
      </w:r>
      <w:r>
        <w:t>five</w:t>
      </w:r>
      <w:r w:rsidRPr="003E13C0">
        <w:t xml:space="preserve"> years at 5 percent). Dividing that account balance by the annuity purchase rate of $137.5</w:t>
      </w:r>
      <w:r>
        <w:t>2</w:t>
      </w:r>
      <w:r w:rsidRPr="003E13C0">
        <w:t xml:space="preserve"> provides a monthly benefit at retirement age of $</w:t>
      </w:r>
      <w:r>
        <w:t>46.40</w:t>
      </w:r>
      <w:r w:rsidRPr="003E13C0">
        <w:t xml:space="preserve">. The table </w:t>
      </w:r>
      <w:r>
        <w:t xml:space="preserve">below </w:t>
      </w:r>
      <w:r w:rsidRPr="003E13C0">
        <w:t xml:space="preserve">shows how that affects the defined benefit plan in the first plan year ending December 31, </w:t>
      </w:r>
      <w:proofErr w:type="gramStart"/>
      <w:r w:rsidRPr="003E13C0">
        <w:t>201</w:t>
      </w:r>
      <w:r w:rsidR="007D418D">
        <w:t xml:space="preserve">5 </w:t>
      </w:r>
      <w:r w:rsidRPr="003E13C0">
        <w:t>.</w:t>
      </w:r>
      <w:proofErr w:type="gramEnd"/>
    </w:p>
    <w:tbl>
      <w:tblPr>
        <w:tblW w:w="9939" w:type="dxa"/>
        <w:tblLayout w:type="fixed"/>
        <w:tblLook w:val="04A0" w:firstRow="1" w:lastRow="0" w:firstColumn="1" w:lastColumn="0" w:noHBand="0" w:noVBand="1"/>
      </w:tblPr>
      <w:tblGrid>
        <w:gridCol w:w="972"/>
        <w:gridCol w:w="1296"/>
        <w:gridCol w:w="1260"/>
        <w:gridCol w:w="1170"/>
        <w:gridCol w:w="1388"/>
        <w:gridCol w:w="1485"/>
        <w:gridCol w:w="1267"/>
        <w:gridCol w:w="1101"/>
      </w:tblGrid>
      <w:tr w:rsidR="00F03143" w:rsidRPr="00E860D3" w:rsidTr="002E6784">
        <w:trPr>
          <w:trHeight w:val="547"/>
        </w:trPr>
        <w:tc>
          <w:tcPr>
            <w:tcW w:w="972" w:type="dxa"/>
            <w:shd w:val="clear" w:color="auto" w:fill="auto"/>
          </w:tcPr>
          <w:p w:rsidR="00F03143" w:rsidRPr="00E860D3" w:rsidRDefault="00F03143" w:rsidP="002E6784"/>
        </w:tc>
        <w:tc>
          <w:tcPr>
            <w:tcW w:w="1296" w:type="dxa"/>
            <w:shd w:val="clear" w:color="auto" w:fill="auto"/>
            <w:vAlign w:val="bottom"/>
          </w:tcPr>
          <w:p w:rsidR="00F03143" w:rsidRPr="00922FB0" w:rsidRDefault="00F03143" w:rsidP="002E6784">
            <w:pPr>
              <w:jc w:val="center"/>
              <w:rPr>
                <w:i/>
              </w:rPr>
            </w:pPr>
            <w:r w:rsidRPr="00922FB0">
              <w:rPr>
                <w:i/>
              </w:rPr>
              <w:t>Benefit at Retirement</w:t>
            </w:r>
          </w:p>
        </w:tc>
        <w:tc>
          <w:tcPr>
            <w:tcW w:w="1260" w:type="dxa"/>
            <w:shd w:val="clear" w:color="auto" w:fill="auto"/>
            <w:vAlign w:val="bottom"/>
          </w:tcPr>
          <w:p w:rsidR="00F03143" w:rsidRPr="00922FB0" w:rsidRDefault="00F03143" w:rsidP="002E6784">
            <w:pPr>
              <w:jc w:val="center"/>
              <w:rPr>
                <w:i/>
              </w:rPr>
            </w:pPr>
            <w:r w:rsidRPr="00922FB0">
              <w:rPr>
                <w:i/>
              </w:rPr>
              <w:t>Benefit Provided by Offset Plan</w:t>
            </w:r>
          </w:p>
        </w:tc>
        <w:tc>
          <w:tcPr>
            <w:tcW w:w="1170" w:type="dxa"/>
            <w:shd w:val="clear" w:color="auto" w:fill="auto"/>
            <w:vAlign w:val="bottom"/>
          </w:tcPr>
          <w:p w:rsidR="00F03143" w:rsidRPr="00922FB0" w:rsidRDefault="00F03143" w:rsidP="002E6784">
            <w:pPr>
              <w:jc w:val="center"/>
              <w:rPr>
                <w:i/>
              </w:rPr>
            </w:pPr>
            <w:r w:rsidRPr="00922FB0">
              <w:rPr>
                <w:i/>
              </w:rPr>
              <w:t>DB Acc’d Benefit</w:t>
            </w:r>
          </w:p>
        </w:tc>
        <w:tc>
          <w:tcPr>
            <w:tcW w:w="1388" w:type="dxa"/>
            <w:shd w:val="clear" w:color="auto" w:fill="auto"/>
            <w:vAlign w:val="bottom"/>
          </w:tcPr>
          <w:p w:rsidR="00F03143" w:rsidRPr="00922FB0" w:rsidRDefault="00F03143" w:rsidP="002E6784">
            <w:pPr>
              <w:jc w:val="center"/>
              <w:rPr>
                <w:i/>
              </w:rPr>
            </w:pPr>
            <w:r w:rsidRPr="00922FB0">
              <w:rPr>
                <w:i/>
              </w:rPr>
              <w:t>Net Accrued Benefit to Fund in DB</w:t>
            </w:r>
          </w:p>
        </w:tc>
        <w:tc>
          <w:tcPr>
            <w:tcW w:w="1485" w:type="dxa"/>
            <w:shd w:val="clear" w:color="auto" w:fill="auto"/>
            <w:vAlign w:val="bottom"/>
          </w:tcPr>
          <w:p w:rsidR="00F03143" w:rsidRPr="00922FB0" w:rsidRDefault="00F03143" w:rsidP="002E6784">
            <w:pPr>
              <w:jc w:val="center"/>
              <w:rPr>
                <w:i/>
              </w:rPr>
            </w:pPr>
            <w:r w:rsidRPr="00922FB0">
              <w:rPr>
                <w:i/>
              </w:rPr>
              <w:t>Present Value of Tot Acc’d Benefit</w:t>
            </w:r>
          </w:p>
        </w:tc>
        <w:tc>
          <w:tcPr>
            <w:tcW w:w="1267" w:type="dxa"/>
            <w:shd w:val="clear" w:color="auto" w:fill="auto"/>
            <w:vAlign w:val="bottom"/>
          </w:tcPr>
          <w:p w:rsidR="00F03143" w:rsidRPr="00922FB0" w:rsidRDefault="00F03143" w:rsidP="002E6784">
            <w:pPr>
              <w:jc w:val="center"/>
              <w:rPr>
                <w:i/>
              </w:rPr>
            </w:pPr>
            <w:r w:rsidRPr="00922FB0">
              <w:rPr>
                <w:i/>
              </w:rPr>
              <w:t>Pay from DB Plan</w:t>
            </w:r>
          </w:p>
        </w:tc>
        <w:tc>
          <w:tcPr>
            <w:tcW w:w="1101" w:type="dxa"/>
            <w:shd w:val="clear" w:color="auto" w:fill="auto"/>
            <w:vAlign w:val="bottom"/>
          </w:tcPr>
          <w:p w:rsidR="00F03143" w:rsidRPr="00922FB0" w:rsidRDefault="00F03143" w:rsidP="002E6784">
            <w:pPr>
              <w:jc w:val="center"/>
              <w:rPr>
                <w:i/>
              </w:rPr>
            </w:pPr>
            <w:r w:rsidRPr="00922FB0">
              <w:rPr>
                <w:i/>
              </w:rPr>
              <w:t>Percent Paid from DB Plan</w:t>
            </w:r>
          </w:p>
        </w:tc>
      </w:tr>
      <w:tr w:rsidR="00F03143" w:rsidRPr="00E860D3" w:rsidTr="002E6784">
        <w:tc>
          <w:tcPr>
            <w:tcW w:w="972" w:type="dxa"/>
            <w:shd w:val="clear" w:color="auto" w:fill="auto"/>
          </w:tcPr>
          <w:p w:rsidR="00F03143" w:rsidRPr="00E860D3" w:rsidRDefault="00F03143" w:rsidP="002E6784">
            <w:r w:rsidRPr="00E860D3">
              <w:t>Harold</w:t>
            </w:r>
          </w:p>
        </w:tc>
        <w:tc>
          <w:tcPr>
            <w:tcW w:w="1296" w:type="dxa"/>
            <w:shd w:val="clear" w:color="auto" w:fill="auto"/>
            <w:vAlign w:val="bottom"/>
          </w:tcPr>
          <w:p w:rsidR="00F03143" w:rsidRPr="00E860D3" w:rsidRDefault="00F03143" w:rsidP="002E6784">
            <w:pPr>
              <w:jc w:val="center"/>
            </w:pPr>
            <w:r>
              <w:t>$ 8,750</w:t>
            </w:r>
          </w:p>
        </w:tc>
        <w:tc>
          <w:tcPr>
            <w:tcW w:w="1260" w:type="dxa"/>
            <w:shd w:val="clear" w:color="auto" w:fill="auto"/>
            <w:vAlign w:val="bottom"/>
          </w:tcPr>
          <w:p w:rsidR="00F03143" w:rsidRPr="00E860D3" w:rsidRDefault="00F03143" w:rsidP="002E6784">
            <w:pPr>
              <w:ind w:right="135"/>
              <w:jc w:val="center"/>
            </w:pPr>
            <w:r>
              <w:t>$ 46</w:t>
            </w:r>
          </w:p>
        </w:tc>
        <w:tc>
          <w:tcPr>
            <w:tcW w:w="1170" w:type="dxa"/>
            <w:shd w:val="clear" w:color="auto" w:fill="auto"/>
            <w:vAlign w:val="bottom"/>
          </w:tcPr>
          <w:p w:rsidR="00F03143" w:rsidRPr="00E860D3" w:rsidRDefault="00F03143" w:rsidP="002E6784">
            <w:pPr>
              <w:ind w:right="256"/>
              <w:jc w:val="right"/>
            </w:pPr>
            <w:r>
              <w:t>$ 1,750</w:t>
            </w:r>
          </w:p>
        </w:tc>
        <w:tc>
          <w:tcPr>
            <w:tcW w:w="1388" w:type="dxa"/>
            <w:shd w:val="clear" w:color="auto" w:fill="auto"/>
            <w:vAlign w:val="bottom"/>
          </w:tcPr>
          <w:p w:rsidR="00F03143" w:rsidRPr="00E860D3" w:rsidRDefault="00F03143" w:rsidP="002E6784">
            <w:pPr>
              <w:ind w:right="225"/>
              <w:jc w:val="right"/>
            </w:pPr>
            <w:r>
              <w:t>$ 1,704</w:t>
            </w:r>
          </w:p>
        </w:tc>
        <w:tc>
          <w:tcPr>
            <w:tcW w:w="1485" w:type="dxa"/>
            <w:shd w:val="clear" w:color="auto" w:fill="auto"/>
            <w:vAlign w:val="bottom"/>
          </w:tcPr>
          <w:p w:rsidR="00F03143" w:rsidRPr="00E860D3" w:rsidRDefault="00F03143" w:rsidP="002E6784">
            <w:pPr>
              <w:ind w:right="129"/>
              <w:jc w:val="right"/>
            </w:pPr>
            <w:r>
              <w:t>$ 168,702</w:t>
            </w:r>
          </w:p>
        </w:tc>
        <w:tc>
          <w:tcPr>
            <w:tcW w:w="1267" w:type="dxa"/>
            <w:shd w:val="clear" w:color="auto" w:fill="auto"/>
            <w:vAlign w:val="bottom"/>
          </w:tcPr>
          <w:p w:rsidR="00F03143" w:rsidRPr="00E860D3" w:rsidRDefault="00F03143" w:rsidP="002E6784">
            <w:pPr>
              <w:ind w:right="145"/>
              <w:jc w:val="right"/>
            </w:pPr>
            <w:r>
              <w:t>$ 164,229</w:t>
            </w:r>
          </w:p>
        </w:tc>
        <w:tc>
          <w:tcPr>
            <w:tcW w:w="1101" w:type="dxa"/>
            <w:shd w:val="clear" w:color="auto" w:fill="auto"/>
            <w:vAlign w:val="bottom"/>
          </w:tcPr>
          <w:p w:rsidR="00F03143" w:rsidRPr="00E860D3" w:rsidRDefault="00F03143" w:rsidP="002E6784">
            <w:pPr>
              <w:ind w:right="183"/>
              <w:jc w:val="right"/>
            </w:pPr>
            <w:r>
              <w:t>97.3%</w:t>
            </w:r>
          </w:p>
        </w:tc>
      </w:tr>
      <w:tr w:rsidR="00F03143" w:rsidRPr="00E860D3" w:rsidTr="002E6784">
        <w:tc>
          <w:tcPr>
            <w:tcW w:w="972" w:type="dxa"/>
            <w:shd w:val="clear" w:color="auto" w:fill="auto"/>
          </w:tcPr>
          <w:p w:rsidR="00F03143" w:rsidRPr="00E860D3" w:rsidRDefault="00F03143" w:rsidP="002E6784">
            <w:r w:rsidRPr="00E860D3">
              <w:t>John</w:t>
            </w:r>
          </w:p>
        </w:tc>
        <w:tc>
          <w:tcPr>
            <w:tcW w:w="1296" w:type="dxa"/>
            <w:shd w:val="clear" w:color="auto" w:fill="auto"/>
            <w:vAlign w:val="bottom"/>
          </w:tcPr>
          <w:p w:rsidR="00F03143" w:rsidRPr="00E860D3" w:rsidRDefault="00F03143" w:rsidP="002E6784">
            <w:pPr>
              <w:jc w:val="center"/>
            </w:pPr>
            <w:r>
              <w:t>$ 8,333</w:t>
            </w:r>
          </w:p>
        </w:tc>
        <w:tc>
          <w:tcPr>
            <w:tcW w:w="1260" w:type="dxa"/>
            <w:shd w:val="clear" w:color="auto" w:fill="auto"/>
            <w:vAlign w:val="bottom"/>
          </w:tcPr>
          <w:p w:rsidR="00F03143" w:rsidRPr="00E860D3" w:rsidRDefault="00F03143" w:rsidP="002E6784">
            <w:pPr>
              <w:ind w:right="135"/>
              <w:jc w:val="center"/>
            </w:pPr>
            <w:r>
              <w:t>$ 59</w:t>
            </w:r>
          </w:p>
        </w:tc>
        <w:tc>
          <w:tcPr>
            <w:tcW w:w="1170" w:type="dxa"/>
            <w:shd w:val="clear" w:color="auto" w:fill="auto"/>
            <w:vAlign w:val="bottom"/>
          </w:tcPr>
          <w:p w:rsidR="00F03143" w:rsidRPr="00E860D3" w:rsidRDefault="00F03143" w:rsidP="002E6784">
            <w:pPr>
              <w:ind w:right="256"/>
              <w:jc w:val="right"/>
            </w:pPr>
            <w:r>
              <w:t>$ 1,750</w:t>
            </w:r>
          </w:p>
        </w:tc>
        <w:tc>
          <w:tcPr>
            <w:tcW w:w="1388" w:type="dxa"/>
            <w:shd w:val="clear" w:color="auto" w:fill="auto"/>
            <w:vAlign w:val="bottom"/>
          </w:tcPr>
          <w:p w:rsidR="00F03143" w:rsidRPr="00E860D3" w:rsidRDefault="00F03143" w:rsidP="002E6784">
            <w:pPr>
              <w:ind w:right="225"/>
              <w:jc w:val="right"/>
            </w:pPr>
            <w:r>
              <w:t>$ 1,691</w:t>
            </w:r>
          </w:p>
        </w:tc>
        <w:tc>
          <w:tcPr>
            <w:tcW w:w="1485" w:type="dxa"/>
            <w:shd w:val="clear" w:color="auto" w:fill="auto"/>
            <w:vAlign w:val="bottom"/>
          </w:tcPr>
          <w:p w:rsidR="00F03143" w:rsidRPr="00E860D3" w:rsidRDefault="00F03143" w:rsidP="002E6784">
            <w:pPr>
              <w:ind w:right="129"/>
              <w:jc w:val="right"/>
            </w:pPr>
            <w:r>
              <w:t>$ 127,140</w:t>
            </w:r>
          </w:p>
        </w:tc>
        <w:tc>
          <w:tcPr>
            <w:tcW w:w="1267" w:type="dxa"/>
            <w:shd w:val="clear" w:color="auto" w:fill="auto"/>
            <w:vAlign w:val="bottom"/>
          </w:tcPr>
          <w:p w:rsidR="00F03143" w:rsidRPr="00E860D3" w:rsidRDefault="00F03143" w:rsidP="002E6784">
            <w:pPr>
              <w:ind w:right="145"/>
              <w:jc w:val="right"/>
            </w:pPr>
            <w:r>
              <w:t>$ 122,837</w:t>
            </w:r>
          </w:p>
        </w:tc>
        <w:tc>
          <w:tcPr>
            <w:tcW w:w="1101" w:type="dxa"/>
            <w:shd w:val="clear" w:color="auto" w:fill="auto"/>
            <w:vAlign w:val="bottom"/>
          </w:tcPr>
          <w:p w:rsidR="00F03143" w:rsidRPr="00E860D3" w:rsidRDefault="00F03143" w:rsidP="002E6784">
            <w:pPr>
              <w:ind w:right="183"/>
              <w:jc w:val="right"/>
            </w:pPr>
            <w:r>
              <w:t>96.6%</w:t>
            </w:r>
          </w:p>
        </w:tc>
      </w:tr>
      <w:tr w:rsidR="00F03143" w:rsidRPr="00E860D3" w:rsidTr="002E6784">
        <w:tc>
          <w:tcPr>
            <w:tcW w:w="972" w:type="dxa"/>
            <w:shd w:val="clear" w:color="auto" w:fill="auto"/>
          </w:tcPr>
          <w:p w:rsidR="00F03143" w:rsidRPr="00E860D3" w:rsidRDefault="00F03143" w:rsidP="002E6784"/>
        </w:tc>
        <w:tc>
          <w:tcPr>
            <w:tcW w:w="1296" w:type="dxa"/>
            <w:shd w:val="clear" w:color="auto" w:fill="auto"/>
            <w:vAlign w:val="bottom"/>
          </w:tcPr>
          <w:p w:rsidR="00F03143" w:rsidRPr="00E860D3" w:rsidRDefault="00F03143" w:rsidP="002E6784">
            <w:pPr>
              <w:jc w:val="center"/>
            </w:pPr>
          </w:p>
        </w:tc>
        <w:tc>
          <w:tcPr>
            <w:tcW w:w="1260" w:type="dxa"/>
            <w:shd w:val="clear" w:color="auto" w:fill="auto"/>
            <w:vAlign w:val="bottom"/>
          </w:tcPr>
          <w:p w:rsidR="00F03143" w:rsidRPr="00E860D3" w:rsidRDefault="00F03143" w:rsidP="002E6784">
            <w:pPr>
              <w:ind w:right="135"/>
              <w:jc w:val="center"/>
            </w:pPr>
          </w:p>
        </w:tc>
        <w:tc>
          <w:tcPr>
            <w:tcW w:w="1170" w:type="dxa"/>
            <w:shd w:val="clear" w:color="auto" w:fill="auto"/>
            <w:vAlign w:val="bottom"/>
          </w:tcPr>
          <w:p w:rsidR="00F03143" w:rsidRPr="00E860D3" w:rsidRDefault="00F03143" w:rsidP="002E6784">
            <w:pPr>
              <w:ind w:right="256"/>
              <w:jc w:val="right"/>
            </w:pPr>
          </w:p>
        </w:tc>
        <w:tc>
          <w:tcPr>
            <w:tcW w:w="1388" w:type="dxa"/>
            <w:shd w:val="clear" w:color="auto" w:fill="auto"/>
            <w:vAlign w:val="bottom"/>
          </w:tcPr>
          <w:p w:rsidR="00F03143" w:rsidRPr="00E860D3" w:rsidRDefault="00F03143" w:rsidP="002E6784">
            <w:pPr>
              <w:ind w:right="225"/>
              <w:jc w:val="right"/>
            </w:pPr>
          </w:p>
        </w:tc>
        <w:tc>
          <w:tcPr>
            <w:tcW w:w="1485" w:type="dxa"/>
            <w:shd w:val="clear" w:color="auto" w:fill="auto"/>
            <w:vAlign w:val="bottom"/>
          </w:tcPr>
          <w:p w:rsidR="00F03143" w:rsidRPr="00E860D3" w:rsidRDefault="00F03143" w:rsidP="002E6784">
            <w:pPr>
              <w:ind w:right="129"/>
              <w:jc w:val="right"/>
            </w:pPr>
          </w:p>
        </w:tc>
        <w:tc>
          <w:tcPr>
            <w:tcW w:w="1267" w:type="dxa"/>
            <w:shd w:val="clear" w:color="auto" w:fill="auto"/>
            <w:vAlign w:val="bottom"/>
          </w:tcPr>
          <w:p w:rsidR="00F03143" w:rsidRPr="00E860D3" w:rsidRDefault="00F03143" w:rsidP="002E6784">
            <w:pPr>
              <w:ind w:right="145"/>
              <w:jc w:val="right"/>
            </w:pPr>
          </w:p>
        </w:tc>
        <w:tc>
          <w:tcPr>
            <w:tcW w:w="1101" w:type="dxa"/>
            <w:shd w:val="clear" w:color="auto" w:fill="auto"/>
            <w:vAlign w:val="bottom"/>
          </w:tcPr>
          <w:p w:rsidR="00F03143" w:rsidRPr="00E860D3" w:rsidRDefault="00F03143" w:rsidP="002E6784">
            <w:pPr>
              <w:ind w:right="183"/>
              <w:jc w:val="right"/>
            </w:pPr>
          </w:p>
        </w:tc>
      </w:tr>
      <w:tr w:rsidR="00F03143" w:rsidRPr="00E860D3" w:rsidTr="002E6784">
        <w:tc>
          <w:tcPr>
            <w:tcW w:w="972" w:type="dxa"/>
            <w:shd w:val="clear" w:color="auto" w:fill="auto"/>
          </w:tcPr>
          <w:p w:rsidR="00F03143" w:rsidRPr="00E860D3" w:rsidRDefault="00F03143" w:rsidP="002E6784">
            <w:r w:rsidRPr="00E860D3">
              <w:t>Nancy</w:t>
            </w:r>
          </w:p>
        </w:tc>
        <w:tc>
          <w:tcPr>
            <w:tcW w:w="1296" w:type="dxa"/>
            <w:shd w:val="clear" w:color="auto" w:fill="auto"/>
            <w:vAlign w:val="bottom"/>
          </w:tcPr>
          <w:p w:rsidR="00F03143" w:rsidRPr="00E860D3" w:rsidRDefault="00F03143" w:rsidP="002E6784">
            <w:pPr>
              <w:jc w:val="center"/>
            </w:pPr>
            <w:r>
              <w:t>$ 2,083</w:t>
            </w:r>
          </w:p>
        </w:tc>
        <w:tc>
          <w:tcPr>
            <w:tcW w:w="1260" w:type="dxa"/>
            <w:shd w:val="clear" w:color="auto" w:fill="auto"/>
            <w:vAlign w:val="bottom"/>
          </w:tcPr>
          <w:p w:rsidR="00F03143" w:rsidRPr="00E860D3" w:rsidRDefault="00F03143" w:rsidP="002E6784">
            <w:pPr>
              <w:ind w:right="135"/>
              <w:jc w:val="center"/>
            </w:pPr>
            <w:r>
              <w:t>$ 56</w:t>
            </w:r>
          </w:p>
        </w:tc>
        <w:tc>
          <w:tcPr>
            <w:tcW w:w="1170" w:type="dxa"/>
            <w:shd w:val="clear" w:color="auto" w:fill="auto"/>
            <w:vAlign w:val="bottom"/>
          </w:tcPr>
          <w:p w:rsidR="00F03143" w:rsidRPr="00E860D3" w:rsidRDefault="00F03143" w:rsidP="002E6784">
            <w:pPr>
              <w:ind w:right="256"/>
              <w:jc w:val="right"/>
            </w:pPr>
            <w:r>
              <w:t>$ 625</w:t>
            </w:r>
          </w:p>
        </w:tc>
        <w:tc>
          <w:tcPr>
            <w:tcW w:w="1388" w:type="dxa"/>
            <w:shd w:val="clear" w:color="auto" w:fill="auto"/>
            <w:vAlign w:val="bottom"/>
          </w:tcPr>
          <w:p w:rsidR="00F03143" w:rsidRPr="00E860D3" w:rsidRDefault="00F03143" w:rsidP="002E6784">
            <w:pPr>
              <w:ind w:right="225"/>
              <w:jc w:val="right"/>
            </w:pPr>
            <w:r>
              <w:t>$ 569</w:t>
            </w:r>
          </w:p>
        </w:tc>
        <w:tc>
          <w:tcPr>
            <w:tcW w:w="1485" w:type="dxa"/>
            <w:shd w:val="clear" w:color="auto" w:fill="auto"/>
            <w:vAlign w:val="bottom"/>
          </w:tcPr>
          <w:p w:rsidR="00F03143" w:rsidRPr="00E860D3" w:rsidRDefault="00F03143" w:rsidP="002E6784">
            <w:pPr>
              <w:ind w:right="129"/>
              <w:jc w:val="right"/>
            </w:pPr>
            <w:r>
              <w:t>$ 20,403</w:t>
            </w:r>
          </w:p>
        </w:tc>
        <w:tc>
          <w:tcPr>
            <w:tcW w:w="1267" w:type="dxa"/>
            <w:shd w:val="clear" w:color="auto" w:fill="auto"/>
            <w:vAlign w:val="bottom"/>
          </w:tcPr>
          <w:p w:rsidR="00F03143" w:rsidRPr="00E860D3" w:rsidRDefault="00F03143" w:rsidP="002E6784">
            <w:pPr>
              <w:ind w:right="145"/>
              <w:jc w:val="right"/>
            </w:pPr>
            <w:r>
              <w:t>$ 18,580</w:t>
            </w:r>
          </w:p>
        </w:tc>
        <w:tc>
          <w:tcPr>
            <w:tcW w:w="1101" w:type="dxa"/>
            <w:shd w:val="clear" w:color="auto" w:fill="auto"/>
            <w:vAlign w:val="bottom"/>
          </w:tcPr>
          <w:p w:rsidR="00F03143" w:rsidRPr="00E860D3" w:rsidRDefault="00F03143" w:rsidP="002E6784">
            <w:pPr>
              <w:ind w:right="183"/>
              <w:jc w:val="right"/>
            </w:pPr>
            <w:r>
              <w:t>91.1%</w:t>
            </w:r>
          </w:p>
        </w:tc>
      </w:tr>
      <w:tr w:rsidR="00F03143" w:rsidRPr="00E860D3" w:rsidTr="002E6784">
        <w:tc>
          <w:tcPr>
            <w:tcW w:w="972" w:type="dxa"/>
            <w:shd w:val="clear" w:color="auto" w:fill="auto"/>
          </w:tcPr>
          <w:p w:rsidR="00F03143" w:rsidRPr="00E860D3" w:rsidRDefault="00F03143" w:rsidP="002E6784">
            <w:r w:rsidRPr="00E860D3">
              <w:t>Max</w:t>
            </w:r>
          </w:p>
        </w:tc>
        <w:tc>
          <w:tcPr>
            <w:tcW w:w="1296" w:type="dxa"/>
            <w:shd w:val="clear" w:color="auto" w:fill="auto"/>
            <w:vAlign w:val="bottom"/>
          </w:tcPr>
          <w:p w:rsidR="00F03143" w:rsidRPr="00E860D3" w:rsidRDefault="00F03143" w:rsidP="002E6784">
            <w:pPr>
              <w:jc w:val="center"/>
            </w:pPr>
            <w:r>
              <w:t>$ 2,917</w:t>
            </w:r>
          </w:p>
        </w:tc>
        <w:tc>
          <w:tcPr>
            <w:tcW w:w="1260" w:type="dxa"/>
            <w:shd w:val="clear" w:color="auto" w:fill="auto"/>
            <w:vAlign w:val="bottom"/>
          </w:tcPr>
          <w:p w:rsidR="00F03143" w:rsidRPr="00E860D3" w:rsidRDefault="00F03143" w:rsidP="002E6784">
            <w:pPr>
              <w:ind w:right="135"/>
              <w:jc w:val="center"/>
            </w:pPr>
            <w:r>
              <w:t>$ 95</w:t>
            </w:r>
          </w:p>
        </w:tc>
        <w:tc>
          <w:tcPr>
            <w:tcW w:w="1170" w:type="dxa"/>
            <w:shd w:val="clear" w:color="auto" w:fill="auto"/>
            <w:vAlign w:val="bottom"/>
          </w:tcPr>
          <w:p w:rsidR="00F03143" w:rsidRPr="00E860D3" w:rsidRDefault="00F03143" w:rsidP="002E6784">
            <w:pPr>
              <w:ind w:right="256"/>
              <w:jc w:val="right"/>
            </w:pPr>
            <w:r>
              <w:t>$ 292</w:t>
            </w:r>
          </w:p>
        </w:tc>
        <w:tc>
          <w:tcPr>
            <w:tcW w:w="1388" w:type="dxa"/>
            <w:shd w:val="clear" w:color="auto" w:fill="auto"/>
            <w:vAlign w:val="bottom"/>
          </w:tcPr>
          <w:p w:rsidR="00F03143" w:rsidRPr="00E860D3" w:rsidRDefault="00F03143" w:rsidP="002E6784">
            <w:pPr>
              <w:ind w:right="225"/>
              <w:jc w:val="right"/>
            </w:pPr>
            <w:r>
              <w:t>$ 197</w:t>
            </w:r>
          </w:p>
        </w:tc>
        <w:tc>
          <w:tcPr>
            <w:tcW w:w="1485" w:type="dxa"/>
            <w:shd w:val="clear" w:color="auto" w:fill="auto"/>
            <w:vAlign w:val="bottom"/>
          </w:tcPr>
          <w:p w:rsidR="00F03143" w:rsidRPr="00E860D3" w:rsidRDefault="00F03143" w:rsidP="002E6784">
            <w:pPr>
              <w:ind w:right="129"/>
              <w:jc w:val="right"/>
            </w:pPr>
            <w:r>
              <w:t>$ 7,412</w:t>
            </w:r>
          </w:p>
        </w:tc>
        <w:tc>
          <w:tcPr>
            <w:tcW w:w="1267" w:type="dxa"/>
            <w:shd w:val="clear" w:color="auto" w:fill="auto"/>
            <w:vAlign w:val="bottom"/>
          </w:tcPr>
          <w:p w:rsidR="00F03143" w:rsidRPr="00E860D3" w:rsidRDefault="00F03143" w:rsidP="002E6784">
            <w:pPr>
              <w:ind w:right="145"/>
              <w:jc w:val="right"/>
            </w:pPr>
            <w:r>
              <w:t>$ 4,997</w:t>
            </w:r>
          </w:p>
        </w:tc>
        <w:tc>
          <w:tcPr>
            <w:tcW w:w="1101" w:type="dxa"/>
            <w:shd w:val="clear" w:color="auto" w:fill="auto"/>
            <w:vAlign w:val="bottom"/>
          </w:tcPr>
          <w:p w:rsidR="00F03143" w:rsidRPr="00E860D3" w:rsidRDefault="00F03143" w:rsidP="002E6784">
            <w:pPr>
              <w:ind w:right="183"/>
              <w:jc w:val="right"/>
            </w:pPr>
            <w:r>
              <w:t>67.4%</w:t>
            </w:r>
          </w:p>
        </w:tc>
      </w:tr>
      <w:tr w:rsidR="00F03143" w:rsidRPr="00E860D3" w:rsidTr="002E6784">
        <w:tc>
          <w:tcPr>
            <w:tcW w:w="972" w:type="dxa"/>
            <w:shd w:val="clear" w:color="auto" w:fill="auto"/>
          </w:tcPr>
          <w:p w:rsidR="00F03143" w:rsidRPr="00E860D3" w:rsidRDefault="00F03143" w:rsidP="002E6784">
            <w:r w:rsidRPr="00E860D3">
              <w:t>Louis</w:t>
            </w:r>
          </w:p>
        </w:tc>
        <w:tc>
          <w:tcPr>
            <w:tcW w:w="1296" w:type="dxa"/>
            <w:shd w:val="clear" w:color="auto" w:fill="auto"/>
            <w:vAlign w:val="bottom"/>
          </w:tcPr>
          <w:p w:rsidR="00F03143" w:rsidRPr="00E860D3" w:rsidRDefault="00F03143" w:rsidP="002E6784">
            <w:pPr>
              <w:jc w:val="center"/>
            </w:pPr>
            <w:r>
              <w:t>$ 2,333</w:t>
            </w:r>
          </w:p>
        </w:tc>
        <w:tc>
          <w:tcPr>
            <w:tcW w:w="1260" w:type="dxa"/>
            <w:shd w:val="clear" w:color="auto" w:fill="auto"/>
            <w:vAlign w:val="bottom"/>
          </w:tcPr>
          <w:p w:rsidR="00F03143" w:rsidRPr="00E860D3" w:rsidRDefault="00F03143" w:rsidP="002E6784">
            <w:pPr>
              <w:ind w:right="135"/>
              <w:jc w:val="center"/>
            </w:pPr>
            <w:r>
              <w:t>$ 118</w:t>
            </w:r>
          </w:p>
        </w:tc>
        <w:tc>
          <w:tcPr>
            <w:tcW w:w="1170" w:type="dxa"/>
            <w:shd w:val="clear" w:color="auto" w:fill="auto"/>
            <w:vAlign w:val="bottom"/>
          </w:tcPr>
          <w:p w:rsidR="00F03143" w:rsidRPr="00E860D3" w:rsidRDefault="00F03143" w:rsidP="002E6784">
            <w:pPr>
              <w:ind w:right="256"/>
              <w:jc w:val="right"/>
            </w:pPr>
            <w:r>
              <w:t>$ 1,400</w:t>
            </w:r>
          </w:p>
        </w:tc>
        <w:tc>
          <w:tcPr>
            <w:tcW w:w="1388" w:type="dxa"/>
            <w:shd w:val="clear" w:color="auto" w:fill="auto"/>
            <w:vAlign w:val="bottom"/>
          </w:tcPr>
          <w:p w:rsidR="00F03143" w:rsidRPr="00E860D3" w:rsidRDefault="00F03143" w:rsidP="002E6784">
            <w:pPr>
              <w:ind w:right="225"/>
              <w:jc w:val="right"/>
            </w:pPr>
            <w:r>
              <w:t>$ 1,282</w:t>
            </w:r>
          </w:p>
        </w:tc>
        <w:tc>
          <w:tcPr>
            <w:tcW w:w="1485" w:type="dxa"/>
            <w:shd w:val="clear" w:color="auto" w:fill="auto"/>
            <w:vAlign w:val="bottom"/>
          </w:tcPr>
          <w:p w:rsidR="00F03143" w:rsidRPr="00E860D3" w:rsidRDefault="00F03143" w:rsidP="002E6784">
            <w:pPr>
              <w:ind w:right="129"/>
              <w:jc w:val="right"/>
            </w:pPr>
            <w:r>
              <w:t>$ 20,255</w:t>
            </w:r>
          </w:p>
        </w:tc>
        <w:tc>
          <w:tcPr>
            <w:tcW w:w="1267" w:type="dxa"/>
            <w:shd w:val="clear" w:color="auto" w:fill="auto"/>
            <w:vAlign w:val="bottom"/>
          </w:tcPr>
          <w:p w:rsidR="00F03143" w:rsidRPr="00E860D3" w:rsidRDefault="00F03143" w:rsidP="002E6784">
            <w:pPr>
              <w:ind w:right="145"/>
              <w:jc w:val="right"/>
            </w:pPr>
            <w:r>
              <w:t>$ 18,548</w:t>
            </w:r>
          </w:p>
        </w:tc>
        <w:tc>
          <w:tcPr>
            <w:tcW w:w="1101" w:type="dxa"/>
            <w:shd w:val="clear" w:color="auto" w:fill="auto"/>
            <w:vAlign w:val="bottom"/>
          </w:tcPr>
          <w:p w:rsidR="00F03143" w:rsidRPr="00E860D3" w:rsidRDefault="00F03143" w:rsidP="002E6784">
            <w:pPr>
              <w:ind w:right="183"/>
              <w:jc w:val="right"/>
            </w:pPr>
            <w:r>
              <w:t>91.6%</w:t>
            </w:r>
          </w:p>
        </w:tc>
      </w:tr>
      <w:tr w:rsidR="00F03143" w:rsidRPr="00E860D3" w:rsidTr="002E6784">
        <w:tc>
          <w:tcPr>
            <w:tcW w:w="972" w:type="dxa"/>
            <w:shd w:val="clear" w:color="auto" w:fill="auto"/>
          </w:tcPr>
          <w:p w:rsidR="00F03143" w:rsidRPr="00E860D3" w:rsidRDefault="00F03143" w:rsidP="002E6784">
            <w:r w:rsidRPr="00E860D3">
              <w:t>Randy</w:t>
            </w:r>
          </w:p>
        </w:tc>
        <w:tc>
          <w:tcPr>
            <w:tcW w:w="1296" w:type="dxa"/>
            <w:shd w:val="clear" w:color="auto" w:fill="auto"/>
            <w:vAlign w:val="bottom"/>
          </w:tcPr>
          <w:p w:rsidR="00F03143" w:rsidRPr="00E860D3" w:rsidRDefault="00F03143" w:rsidP="002E6784">
            <w:pPr>
              <w:jc w:val="center"/>
            </w:pPr>
            <w:r>
              <w:t>$ 4,167</w:t>
            </w:r>
          </w:p>
        </w:tc>
        <w:tc>
          <w:tcPr>
            <w:tcW w:w="1260" w:type="dxa"/>
            <w:shd w:val="clear" w:color="auto" w:fill="auto"/>
            <w:vAlign w:val="bottom"/>
          </w:tcPr>
          <w:p w:rsidR="00F03143" w:rsidRPr="00E860D3" w:rsidRDefault="00F03143" w:rsidP="002E6784">
            <w:pPr>
              <w:ind w:right="135"/>
              <w:jc w:val="center"/>
            </w:pPr>
            <w:r>
              <w:t>$ 92</w:t>
            </w:r>
          </w:p>
        </w:tc>
        <w:tc>
          <w:tcPr>
            <w:tcW w:w="1170" w:type="dxa"/>
            <w:shd w:val="clear" w:color="auto" w:fill="auto"/>
            <w:vAlign w:val="bottom"/>
          </w:tcPr>
          <w:p w:rsidR="00F03143" w:rsidRPr="00E860D3" w:rsidRDefault="00F03143" w:rsidP="002E6784">
            <w:pPr>
              <w:ind w:right="256"/>
              <w:jc w:val="right"/>
            </w:pPr>
            <w:r>
              <w:t>$ 1,750</w:t>
            </w:r>
          </w:p>
        </w:tc>
        <w:tc>
          <w:tcPr>
            <w:tcW w:w="1388" w:type="dxa"/>
            <w:shd w:val="clear" w:color="auto" w:fill="auto"/>
            <w:vAlign w:val="bottom"/>
          </w:tcPr>
          <w:p w:rsidR="00F03143" w:rsidRPr="00E860D3" w:rsidRDefault="00F03143" w:rsidP="002E6784">
            <w:pPr>
              <w:ind w:right="225"/>
              <w:jc w:val="right"/>
            </w:pPr>
            <w:r>
              <w:t>$ 1,658</w:t>
            </w:r>
          </w:p>
        </w:tc>
        <w:tc>
          <w:tcPr>
            <w:tcW w:w="1485" w:type="dxa"/>
            <w:shd w:val="clear" w:color="auto" w:fill="auto"/>
            <w:vAlign w:val="bottom"/>
          </w:tcPr>
          <w:p w:rsidR="00F03143" w:rsidRPr="00E860D3" w:rsidRDefault="00F03143" w:rsidP="002E6784">
            <w:pPr>
              <w:ind w:right="129"/>
              <w:jc w:val="right"/>
            </w:pPr>
            <w:r>
              <w:t>$ 64,002</w:t>
            </w:r>
          </w:p>
        </w:tc>
        <w:tc>
          <w:tcPr>
            <w:tcW w:w="1267" w:type="dxa"/>
            <w:shd w:val="clear" w:color="auto" w:fill="auto"/>
            <w:vAlign w:val="bottom"/>
          </w:tcPr>
          <w:p w:rsidR="00F03143" w:rsidRPr="00E860D3" w:rsidRDefault="00F03143" w:rsidP="002E6784">
            <w:pPr>
              <w:ind w:right="145"/>
              <w:jc w:val="right"/>
            </w:pPr>
            <w:r>
              <w:t>$ 60,632</w:t>
            </w:r>
          </w:p>
        </w:tc>
        <w:tc>
          <w:tcPr>
            <w:tcW w:w="1101" w:type="dxa"/>
            <w:shd w:val="clear" w:color="auto" w:fill="auto"/>
            <w:vAlign w:val="bottom"/>
          </w:tcPr>
          <w:p w:rsidR="00F03143" w:rsidRPr="00E860D3" w:rsidRDefault="00F03143" w:rsidP="002E6784">
            <w:pPr>
              <w:ind w:right="183"/>
              <w:jc w:val="right"/>
            </w:pPr>
            <w:r>
              <w:t>94.7%</w:t>
            </w:r>
          </w:p>
        </w:tc>
      </w:tr>
      <w:tr w:rsidR="00F03143" w:rsidTr="002E6784">
        <w:tc>
          <w:tcPr>
            <w:tcW w:w="972" w:type="dxa"/>
            <w:shd w:val="clear" w:color="auto" w:fill="auto"/>
          </w:tcPr>
          <w:p w:rsidR="00F03143" w:rsidRPr="00E860D3" w:rsidRDefault="00F03143" w:rsidP="002E6784">
            <w:r w:rsidRPr="00E860D3">
              <w:t>Jesse</w:t>
            </w:r>
          </w:p>
        </w:tc>
        <w:tc>
          <w:tcPr>
            <w:tcW w:w="1296" w:type="dxa"/>
            <w:shd w:val="clear" w:color="auto" w:fill="auto"/>
            <w:vAlign w:val="bottom"/>
          </w:tcPr>
          <w:p w:rsidR="00F03143" w:rsidRPr="00E860D3" w:rsidRDefault="00F03143" w:rsidP="002E6784">
            <w:pPr>
              <w:jc w:val="center"/>
            </w:pPr>
            <w:r>
              <w:t>$ 1,500</w:t>
            </w:r>
          </w:p>
        </w:tc>
        <w:tc>
          <w:tcPr>
            <w:tcW w:w="1260" w:type="dxa"/>
            <w:shd w:val="clear" w:color="auto" w:fill="auto"/>
            <w:vAlign w:val="bottom"/>
          </w:tcPr>
          <w:p w:rsidR="00F03143" w:rsidRPr="00E860D3" w:rsidRDefault="00F03143" w:rsidP="002E6784">
            <w:pPr>
              <w:ind w:right="135"/>
              <w:jc w:val="center"/>
            </w:pPr>
            <w:r>
              <w:t>$ 96</w:t>
            </w:r>
          </w:p>
        </w:tc>
        <w:tc>
          <w:tcPr>
            <w:tcW w:w="1170" w:type="dxa"/>
            <w:shd w:val="clear" w:color="auto" w:fill="auto"/>
            <w:vAlign w:val="bottom"/>
          </w:tcPr>
          <w:p w:rsidR="00F03143" w:rsidRPr="00E860D3" w:rsidRDefault="00F03143" w:rsidP="002E6784">
            <w:pPr>
              <w:ind w:right="256"/>
              <w:jc w:val="right"/>
            </w:pPr>
            <w:r>
              <w:t>$ 900</w:t>
            </w:r>
          </w:p>
        </w:tc>
        <w:tc>
          <w:tcPr>
            <w:tcW w:w="1388" w:type="dxa"/>
            <w:shd w:val="clear" w:color="auto" w:fill="auto"/>
            <w:vAlign w:val="bottom"/>
          </w:tcPr>
          <w:p w:rsidR="00F03143" w:rsidRPr="00E860D3" w:rsidRDefault="00F03143" w:rsidP="002E6784">
            <w:pPr>
              <w:ind w:right="225"/>
              <w:jc w:val="right"/>
            </w:pPr>
            <w:r>
              <w:t>$ 804</w:t>
            </w:r>
          </w:p>
        </w:tc>
        <w:tc>
          <w:tcPr>
            <w:tcW w:w="1485" w:type="dxa"/>
            <w:shd w:val="clear" w:color="auto" w:fill="auto"/>
            <w:vAlign w:val="bottom"/>
          </w:tcPr>
          <w:p w:rsidR="00F03143" w:rsidRPr="00E860D3" w:rsidRDefault="00F03143" w:rsidP="002E6784">
            <w:pPr>
              <w:ind w:right="129"/>
              <w:jc w:val="right"/>
            </w:pPr>
            <w:r>
              <w:t>$ 10,137</w:t>
            </w:r>
          </w:p>
        </w:tc>
        <w:tc>
          <w:tcPr>
            <w:tcW w:w="1267" w:type="dxa"/>
            <w:shd w:val="clear" w:color="auto" w:fill="auto"/>
            <w:vAlign w:val="bottom"/>
          </w:tcPr>
          <w:p w:rsidR="00F03143" w:rsidRPr="00E860D3" w:rsidRDefault="00F03143" w:rsidP="002E6784">
            <w:pPr>
              <w:ind w:right="145"/>
              <w:jc w:val="right"/>
            </w:pPr>
            <w:r>
              <w:t>$ 9,050</w:t>
            </w:r>
          </w:p>
        </w:tc>
        <w:tc>
          <w:tcPr>
            <w:tcW w:w="1101" w:type="dxa"/>
            <w:shd w:val="clear" w:color="auto" w:fill="auto"/>
            <w:vAlign w:val="bottom"/>
          </w:tcPr>
          <w:p w:rsidR="00F03143" w:rsidRDefault="00F03143" w:rsidP="002E6784">
            <w:pPr>
              <w:ind w:right="183"/>
              <w:jc w:val="right"/>
            </w:pPr>
            <w:r>
              <w:t>89.3%</w:t>
            </w:r>
          </w:p>
        </w:tc>
      </w:tr>
    </w:tbl>
    <w:p w:rsidR="00F03143" w:rsidRDefault="008030B2" w:rsidP="002E6784">
      <w:pPr>
        <w:pStyle w:val="Extract1"/>
        <w:spacing w:before="320"/>
        <w:ind w:left="720"/>
        <w:jc w:val="left"/>
      </w:pPr>
      <w:r>
        <w:rPr>
          <w:noProof/>
        </w:rPr>
        <mc:AlternateContent>
          <mc:Choice Requires="wps">
            <w:drawing>
              <wp:anchor distT="0" distB="0" distL="114300" distR="114300" simplePos="0" relativeHeight="251666432" behindDoc="0" locked="0" layoutInCell="1" allowOverlap="1" wp14:anchorId="7D716D19" wp14:editId="037362A1">
                <wp:simplePos x="0" y="0"/>
                <wp:positionH relativeFrom="column">
                  <wp:posOffset>1444625</wp:posOffset>
                </wp:positionH>
                <wp:positionV relativeFrom="paragraph">
                  <wp:posOffset>141605</wp:posOffset>
                </wp:positionV>
                <wp:extent cx="2597150" cy="245745"/>
                <wp:effectExtent l="12700" t="11430"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45745"/>
                        </a:xfrm>
                        <a:prstGeom prst="rect">
                          <a:avLst/>
                        </a:prstGeom>
                        <a:solidFill>
                          <a:srgbClr val="FFFFFF"/>
                        </a:solidFill>
                        <a:ln w="9525">
                          <a:solidFill>
                            <a:srgbClr val="000000"/>
                          </a:solidFill>
                          <a:miter lim="800000"/>
                          <a:headEnd/>
                          <a:tailEnd/>
                        </a:ln>
                      </wps:spPr>
                      <wps:txbx>
                        <w:txbxContent>
                          <w:p w:rsidR="002E6784" w:rsidRDefault="002E6784">
                            <w:r>
                              <w:t>Leave a blank line after the column headings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113.75pt;margin-top:11.15pt;width:204.5pt;height:19.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Q5KwIAAFcEAAAOAAAAZHJzL2Uyb0RvYy54bWysVNuO0zAQfUfiHyy/07ShZbdR09XSpQhp&#10;uUi7fIDjOImFb4zdJuXrGTttiYAnRB4s2zM+PnPOOJu7QStyFOClNSVdzOaUCMNtLU1b0q/P+1e3&#10;lPjATM2UNaKkJ+Hp3fbli03vCpHbzqpaAEEQ44velbQLwRVZ5nknNPMz64TBYGNBs4BLaLMaWI/o&#10;WmX5fP4m6y3UDiwX3uPuwxik24TfNIKHz03jRSCqpMgtpBHSWMUx225Y0QJzneRnGuwfWGgmDV56&#10;hXpggZEDyD+gtORgvW3CjFud2aaRXKQasJrF/LdqnjrmRKoFxfHuKpP/f7D80/ELEFmjd5QYptGi&#10;ZzEE8tYOZBXV6Z0vMOnJYVoYcDtmxkq9e7T8myfG7jpmWnEPYPtOsBrZLeLJbHJ0xPERpOo/2hqv&#10;YYdgE9DQgI6AKAZBdHTpdHUmUuG4ma/WN4sVhjjG8uXqZpnIZay4nHbgw3thNYmTkgI6n9DZ8dGH&#10;yIYVl5TE3ipZ76VSaQFttVNAjgy7ZJ++VAAWOU1ThvQlXa/y1SjANOanEPP0/Q1Cy4DtrqQu6e01&#10;iRVRtnemTs0YmFTjHCkrc9YxSjeKGIZqSIa9vthT2fqEwoIduxtfI046Cz8o6bGzS+q/HxgIStQH&#10;g+asF8tlfAppgVLmuIBppJpGmOEIVdJAyTjdhfH5HBzItsObLu1wj4buZdI6Oj+yOtPH7k0WnF9a&#10;fB7Tdcr69T/Y/gQAAP//AwBQSwMEFAAGAAgAAAAhANsF3hTcAAAACQEAAA8AAABkcnMvZG93bnJl&#10;di54bWxMj0FPwzAMhe9I/IfISFwmlq5VCypNJ5i0E6d14541pq1onJJkW/fv8U5we/Z7ev5crWc7&#10;ijP6MDhSsFomIJBaZwbqFBz226cXECFqMnp0hAquGGBd399VujTuQjs8N7ETXEKh1Ar6GKdSytD2&#10;aHVYugmJvS/nrY48+k4ary9cbkeZJkkhrR6IL/R6wk2P7XdzsgqKnyZbfHyaBe2u23ff2txsDrlS&#10;jw/z2yuIiHP8C8MNn9GhZqajO5EJYlSQps85R28iA8GBIit4cWSxSkDWlfz/Qf0LAAD//wMAUEsB&#10;Ai0AFAAGAAgAAAAhALaDOJL+AAAA4QEAABMAAAAAAAAAAAAAAAAAAAAAAFtDb250ZW50X1R5cGVz&#10;XS54bWxQSwECLQAUAAYACAAAACEAOP0h/9YAAACUAQAACwAAAAAAAAAAAAAAAAAvAQAAX3JlbHMv&#10;LnJlbHNQSwECLQAUAAYACAAAACEAX+ZkOSsCAABXBAAADgAAAAAAAAAAAAAAAAAuAgAAZHJzL2Uy&#10;b0RvYy54bWxQSwECLQAUAAYACAAAACEA2wXeFNwAAAAJAQAADwAAAAAAAAAAAAAAAACFBAAAZHJz&#10;L2Rvd25yZXYueG1sUEsFBgAAAAAEAAQA8wAAAI4FAAAAAA==&#10;">
                <v:textbox style="mso-fit-shape-to-text:t">
                  <w:txbxContent>
                    <w:p w:rsidR="002E6784" w:rsidRDefault="002E6784">
                      <w:r>
                        <w:t>Leave a blank line after the column headings</w:t>
                      </w:r>
                    </w:p>
                  </w:txbxContent>
                </v:textbox>
              </v:shape>
            </w:pict>
          </mc:Fallback>
        </mc:AlternateContent>
      </w:r>
    </w:p>
    <w:p w:rsidR="00F03143" w:rsidRPr="003C3CE5" w:rsidRDefault="00F03143" w:rsidP="002E6784">
      <w:pPr>
        <w:pStyle w:val="QU"/>
      </w:pPr>
      <w:r w:rsidRPr="003C3CE5">
        <w:t>1212</w:t>
      </w:r>
      <w:r>
        <w:t xml:space="preserve">. </w:t>
      </w:r>
      <w:r w:rsidRPr="003C3CE5">
        <w:t>What are the disadvantages of a floor offset plan?</w:t>
      </w:r>
    </w:p>
    <w:p w:rsidR="00F03143" w:rsidRPr="00D823AC" w:rsidRDefault="00F03143" w:rsidP="002E6784">
      <w:pPr>
        <w:pStyle w:val="PA"/>
      </w:pPr>
      <w:r>
        <w:t>As seen previously the benefits in the defined benefit plan are offset by the projected benefits in the defined contribution plan for funding purposes. In the event of a participant’s termination, however, the distribution from each plan is based on the vested benefits. While the employee is working there may be no contributions made to the defined benefit plan if the projected benefit from the defined contribution plan is in excess of the benefit in the defined benefit plan. When the defined benefit distribution is made to the terminated employee only vested benefits can be used to offset the benefit in the defined benefit plan. If this is insufficient to fully fund the vested benefit in the defined benefit plan, then some of the assets in the defined benefit plan must be used to pay the employee even though no contributions have been made in that plan for the employee. This could be a surprise to the plan sponsor if the concept is not explained in advance of adopting the plan.</w:t>
      </w:r>
    </w:p>
    <w:p w:rsidR="00F03143" w:rsidRPr="007E799B" w:rsidRDefault="00F03143" w:rsidP="007E799B"/>
    <w:p w:rsidR="00F03143" w:rsidRPr="00F03143" w:rsidRDefault="00F03143" w:rsidP="00F03143"/>
    <w:p w:rsidR="00844CAC" w:rsidRPr="007E799B" w:rsidRDefault="00844CAC" w:rsidP="007E799B"/>
    <w:sectPr w:rsidR="00844CAC" w:rsidRPr="007E799B" w:rsidSect="00501FA9">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84" w:rsidRDefault="002E6784">
      <w:r>
        <w:separator/>
      </w:r>
    </w:p>
  </w:endnote>
  <w:endnote w:type="continuationSeparator" w:id="0">
    <w:p w:rsidR="002E6784" w:rsidRDefault="002E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84" w:rsidRDefault="002E6784">
      <w:r>
        <w:separator/>
      </w:r>
    </w:p>
  </w:footnote>
  <w:footnote w:type="continuationSeparator" w:id="0">
    <w:p w:rsidR="002E6784" w:rsidRDefault="002E6784">
      <w:r>
        <w:continuationSeparator/>
      </w:r>
    </w:p>
  </w:footnote>
  <w:footnote w:id="1">
    <w:p w:rsidR="002E6784" w:rsidRPr="00F31E3D" w:rsidRDefault="002E6784" w:rsidP="00F31E3D">
      <w:pPr>
        <w:pStyle w:val="PQ"/>
      </w:pPr>
      <w:r w:rsidRPr="00F31E3D">
        <w:rPr>
          <w:rStyle w:val="FootnoteReference"/>
          <w:vertAlign w:val="baseline"/>
        </w:rPr>
        <w:footnoteRef/>
      </w:r>
      <w:r>
        <w:t>.</w:t>
      </w:r>
      <w:r>
        <w:tab/>
      </w:r>
      <w:r w:rsidRPr="00F31E3D">
        <w:t>EGTRRA Sec. 659(a); IRC Sec. 4980(F).</w:t>
      </w:r>
    </w:p>
  </w:footnote>
  <w:footnote w:id="2">
    <w:p w:rsidR="002E6784" w:rsidRPr="00F31E3D" w:rsidRDefault="002E6784" w:rsidP="00F31E3D">
      <w:pPr>
        <w:pStyle w:val="PQ"/>
      </w:pPr>
      <w:r w:rsidRPr="00F31E3D">
        <w:rPr>
          <w:rStyle w:val="FootnoteReference"/>
          <w:vertAlign w:val="baseline"/>
        </w:rPr>
        <w:footnoteRef/>
      </w:r>
      <w:r>
        <w:t>.</w:t>
      </w:r>
      <w:r>
        <w:tab/>
      </w:r>
      <w:r w:rsidRPr="00F31E3D">
        <w:t>2007-1 CB 272.</w:t>
      </w:r>
    </w:p>
  </w:footnote>
  <w:footnote w:id="3">
    <w:p w:rsidR="002E6784" w:rsidRPr="00F31E3D" w:rsidRDefault="002E6784" w:rsidP="00F31E3D">
      <w:pPr>
        <w:pStyle w:val="PQ"/>
      </w:pPr>
      <w:r w:rsidRPr="00F31E3D">
        <w:rPr>
          <w:rStyle w:val="FootnoteReference"/>
          <w:vertAlign w:val="baseline"/>
        </w:rPr>
        <w:footnoteRef/>
      </w:r>
      <w:r>
        <w:t>.</w:t>
      </w:r>
      <w:r>
        <w:tab/>
      </w:r>
      <w:r w:rsidRPr="00F31E3D">
        <w:t>Treas. Reg. §1.401(a)(4)-8(c)(3).</w:t>
      </w:r>
    </w:p>
  </w:footnote>
  <w:footnote w:id="4">
    <w:p w:rsidR="002E6784" w:rsidRPr="00F31E3D" w:rsidRDefault="002E6784" w:rsidP="00F31E3D">
      <w:pPr>
        <w:pStyle w:val="PQ"/>
      </w:pPr>
      <w:r w:rsidRPr="00F31E3D">
        <w:rPr>
          <w:rStyle w:val="FootnoteReference"/>
          <w:vertAlign w:val="baseline"/>
        </w:rPr>
        <w:footnoteRef/>
      </w:r>
      <w:r>
        <w:t>.</w:t>
      </w:r>
      <w:r>
        <w:tab/>
      </w:r>
      <w:r w:rsidRPr="00F31E3D">
        <w:t>Treas. Reg. §1.401(a)(4)-8(c)(3)(iii)(B).</w:t>
      </w:r>
    </w:p>
  </w:footnote>
  <w:footnote w:id="5">
    <w:p w:rsidR="002E6784" w:rsidRPr="00F31E3D" w:rsidRDefault="002E6784" w:rsidP="00F31E3D">
      <w:pPr>
        <w:pStyle w:val="PQ"/>
      </w:pPr>
      <w:r w:rsidRPr="00F31E3D">
        <w:rPr>
          <w:rStyle w:val="FootnoteReference"/>
          <w:vertAlign w:val="baseline"/>
        </w:rPr>
        <w:footnoteRef/>
      </w:r>
      <w:r>
        <w:t>.</w:t>
      </w:r>
      <w:r>
        <w:tab/>
      </w:r>
      <w:r w:rsidRPr="00F31E3D">
        <w:t>Treas. Reg. §1.401(a)(4)-8(c)(3)(iii)(C).</w:t>
      </w:r>
    </w:p>
  </w:footnote>
  <w:footnote w:id="6">
    <w:p w:rsidR="002E6784" w:rsidRDefault="002E6784">
      <w:pPr>
        <w:pStyle w:val="FootnoteText"/>
      </w:pPr>
      <w:r>
        <w:rPr>
          <w:rStyle w:val="FootnoteReference"/>
        </w:rPr>
        <w:footnoteRef/>
      </w:r>
      <w:r>
        <w:t xml:space="preserve"> Treas. Reg.  1.401(a)(4)</w:t>
      </w:r>
      <w:r w:rsidR="00B60513">
        <w:t>-</w:t>
      </w:r>
      <w:r>
        <w:t>12</w:t>
      </w:r>
    </w:p>
  </w:footnote>
  <w:footnote w:id="7">
    <w:p w:rsidR="002E6784" w:rsidRDefault="002E6784">
      <w:pPr>
        <w:pStyle w:val="FootnoteText"/>
      </w:pPr>
      <w:r>
        <w:rPr>
          <w:rStyle w:val="FootnoteReference"/>
        </w:rPr>
        <w:footnoteRef/>
      </w:r>
      <w:r>
        <w:t xml:space="preserve"> Treas. Reg. 1.401(a)(4) 8(c)(3)(iv)(C)(2)</w:t>
      </w:r>
    </w:p>
  </w:footnote>
  <w:footnote w:id="8">
    <w:p w:rsidR="002E6784" w:rsidRPr="00A67C07" w:rsidRDefault="002E6784" w:rsidP="002E6784">
      <w:pPr>
        <w:pStyle w:val="PQ"/>
      </w:pPr>
      <w:r w:rsidRPr="00A67C07">
        <w:rPr>
          <w:rStyle w:val="FootnoteReference"/>
          <w:vertAlign w:val="baseline"/>
        </w:rPr>
        <w:footnoteRef/>
      </w:r>
      <w:r>
        <w:t>.</w:t>
      </w:r>
      <w:r>
        <w:tab/>
      </w:r>
      <w:r w:rsidRPr="00A67C07">
        <w:t>Treas. Reg. §1.401(1)(4)-8(c)(3)(vi)(C).</w:t>
      </w:r>
    </w:p>
  </w:footnote>
  <w:footnote w:id="9">
    <w:p w:rsidR="002E6784" w:rsidRPr="002A3797" w:rsidRDefault="002E6784" w:rsidP="002E6784">
      <w:pPr>
        <w:pStyle w:val="PQ"/>
      </w:pPr>
      <w:r w:rsidRPr="002A3797">
        <w:rPr>
          <w:rStyle w:val="FootnoteReference"/>
          <w:vertAlign w:val="baseline"/>
        </w:rPr>
        <w:footnoteRef/>
      </w:r>
      <w:r>
        <w:t>.</w:t>
      </w:r>
      <w:r>
        <w:tab/>
        <w:t xml:space="preserve">IRC Sec. </w:t>
      </w:r>
      <w:r w:rsidRPr="002A3797">
        <w:t>412(e); Treas. Reg. §1.412(e)-1(b)(2).</w:t>
      </w:r>
    </w:p>
  </w:footnote>
  <w:footnote w:id="10">
    <w:p w:rsidR="002E6784" w:rsidRPr="002A3797" w:rsidRDefault="002E6784" w:rsidP="002E6784">
      <w:pPr>
        <w:pStyle w:val="PQ"/>
      </w:pPr>
      <w:r w:rsidRPr="002A3797">
        <w:rPr>
          <w:rStyle w:val="FootnoteReference"/>
          <w:vertAlign w:val="baseline"/>
        </w:rPr>
        <w:footnoteRef/>
      </w:r>
      <w:r>
        <w:t>.</w:t>
      </w:r>
      <w:r>
        <w:tab/>
      </w:r>
      <w:r w:rsidRPr="002A3797">
        <w:t>IRC Sec. 412(h)(2).</w:t>
      </w:r>
    </w:p>
  </w:footnote>
  <w:footnote w:id="11">
    <w:p w:rsidR="002E6784" w:rsidRPr="00FB1C6E" w:rsidRDefault="002E6784" w:rsidP="002E6784">
      <w:pPr>
        <w:pStyle w:val="PQ"/>
      </w:pPr>
      <w:r w:rsidRPr="00FB1C6E">
        <w:rPr>
          <w:rStyle w:val="FootnoteReference"/>
          <w:vertAlign w:val="baseline"/>
        </w:rPr>
        <w:footnoteRef/>
      </w:r>
      <w:r>
        <w:t>.</w:t>
      </w:r>
      <w:r w:rsidR="00B60513">
        <w:tab/>
      </w:r>
      <w:bookmarkStart w:id="0" w:name="_GoBack"/>
      <w:bookmarkEnd w:id="0"/>
      <w:r>
        <w:t xml:space="preserve"> </w:t>
      </w:r>
      <w:r w:rsidRPr="00FB1C6E">
        <w:t>IRC Sec. 412(c)(3).</w:t>
      </w:r>
    </w:p>
  </w:footnote>
  <w:footnote w:id="12">
    <w:p w:rsidR="002E6784" w:rsidRPr="00E709BB" w:rsidRDefault="002E6784" w:rsidP="002E6784">
      <w:pPr>
        <w:pStyle w:val="PQ"/>
      </w:pPr>
      <w:r w:rsidRPr="00E709BB">
        <w:rPr>
          <w:rStyle w:val="FootnoteReference"/>
          <w:vertAlign w:val="baseline"/>
        </w:rPr>
        <w:footnoteRef/>
      </w:r>
      <w:r>
        <w:t>.</w:t>
      </w:r>
      <w:r>
        <w:tab/>
      </w:r>
      <w:r w:rsidRPr="00E709BB">
        <w:t xml:space="preserve">Rev. Rul. 81-196, </w:t>
      </w:r>
      <w:r w:rsidRPr="00E709BB">
        <w:rPr>
          <w:rStyle w:val="st"/>
        </w:rPr>
        <w:t>1981-2 C.B. 107</w:t>
      </w:r>
      <w:r w:rsidRPr="00E709BB">
        <w:t>; IRC Sec. 404(a)(1)(A).</w:t>
      </w:r>
    </w:p>
  </w:footnote>
  <w:footnote w:id="13">
    <w:p w:rsidR="002E6784" w:rsidRPr="00E709BB" w:rsidRDefault="002E6784" w:rsidP="002E6784">
      <w:pPr>
        <w:pStyle w:val="PQ"/>
      </w:pPr>
      <w:r w:rsidRPr="00E709BB">
        <w:rPr>
          <w:rStyle w:val="FootnoteReference"/>
          <w:vertAlign w:val="baseline"/>
        </w:rPr>
        <w:footnoteRef/>
      </w:r>
      <w:r>
        <w:t>.</w:t>
      </w:r>
      <w:r>
        <w:tab/>
      </w:r>
      <w:r w:rsidRPr="00E709BB">
        <w:t>IRC Sec. 404(a)(1)(A)(iii).</w:t>
      </w:r>
    </w:p>
  </w:footnote>
  <w:footnote w:id="14">
    <w:p w:rsidR="002E6784" w:rsidRPr="00E709BB" w:rsidRDefault="002E6784" w:rsidP="002E6784">
      <w:pPr>
        <w:pStyle w:val="PQ"/>
      </w:pPr>
      <w:r w:rsidRPr="00E709BB">
        <w:rPr>
          <w:rStyle w:val="FootnoteReference"/>
          <w:vertAlign w:val="baseline"/>
        </w:rPr>
        <w:footnoteRef/>
      </w:r>
      <w:r>
        <w:t>.</w:t>
      </w:r>
      <w:r>
        <w:tab/>
      </w:r>
      <w:r w:rsidRPr="00E709BB">
        <w:t xml:space="preserve">Rev. Rul. 94-75, </w:t>
      </w:r>
      <w:r w:rsidRPr="00E709BB">
        <w:rPr>
          <w:rStyle w:val="st"/>
        </w:rPr>
        <w:t>1994-2 C.B. 59.</w:t>
      </w:r>
    </w:p>
  </w:footnote>
  <w:footnote w:id="15">
    <w:p w:rsidR="002E6784" w:rsidRPr="00EE0122" w:rsidRDefault="002E6784" w:rsidP="002E6784">
      <w:pPr>
        <w:pStyle w:val="PQ"/>
      </w:pPr>
      <w:r w:rsidRPr="00EE0122">
        <w:rPr>
          <w:rStyle w:val="FootnoteReference"/>
          <w:vertAlign w:val="baseline"/>
        </w:rPr>
        <w:footnoteRef/>
      </w:r>
      <w:r>
        <w:t>.</w:t>
      </w:r>
      <w:r>
        <w:tab/>
      </w:r>
      <w:r w:rsidRPr="00EE0122">
        <w:t xml:space="preserve">Rev. Rul. 2004-20, </w:t>
      </w:r>
      <w:r w:rsidRPr="00EE0122">
        <w:rPr>
          <w:rStyle w:val="st"/>
        </w:rPr>
        <w:t>2004-10 IRB 546.</w:t>
      </w:r>
    </w:p>
  </w:footnote>
  <w:footnote w:id="16">
    <w:p w:rsidR="002E6784" w:rsidRPr="00481A1C" w:rsidRDefault="002E6784" w:rsidP="002E6784">
      <w:pPr>
        <w:pStyle w:val="PQ"/>
      </w:pPr>
      <w:r w:rsidRPr="00481A1C">
        <w:rPr>
          <w:rStyle w:val="FootnoteReference"/>
          <w:vertAlign w:val="baseline"/>
        </w:rPr>
        <w:footnoteRef/>
      </w:r>
      <w:r>
        <w:t>.</w:t>
      </w:r>
      <w:r>
        <w:tab/>
      </w:r>
      <w:r w:rsidRPr="00481A1C">
        <w:t>Treas. Reg. §1.401(a)(4)-8(d).</w:t>
      </w:r>
    </w:p>
  </w:footnote>
  <w:footnote w:id="17">
    <w:p w:rsidR="002E6784" w:rsidRPr="00481A1C" w:rsidRDefault="002E6784" w:rsidP="002E6784">
      <w:pPr>
        <w:pStyle w:val="PQ"/>
      </w:pPr>
      <w:r w:rsidRPr="00481A1C">
        <w:rPr>
          <w:rStyle w:val="FootnoteReference"/>
          <w:vertAlign w:val="baseline"/>
        </w:rPr>
        <w:footnoteRef/>
      </w:r>
      <w:r>
        <w:t>.</w:t>
      </w:r>
      <w:r>
        <w:tab/>
      </w:r>
      <w:r w:rsidRPr="00481A1C">
        <w:t xml:space="preserve">Rev. Rul. 76-259, </w:t>
      </w:r>
      <w:r w:rsidRPr="00481A1C">
        <w:rPr>
          <w:rStyle w:val="st"/>
        </w:rPr>
        <w:t>1976-2 C.B.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7"/>
  </w:num>
  <w:num w:numId="2">
    <w:abstractNumId w:val="0"/>
  </w:num>
  <w:num w:numId="3">
    <w:abstractNumId w:val="4"/>
  </w:num>
  <w:num w:numId="4">
    <w:abstractNumId w:val="10"/>
  </w:num>
  <w:num w:numId="5">
    <w:abstractNumId w:val="3"/>
  </w:num>
  <w:num w:numId="6">
    <w:abstractNumId w:val="6"/>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8"/>
  </w:num>
  <w:num w:numId="16">
    <w:abstractNumId w:val="8"/>
  </w:num>
  <w:num w:numId="17">
    <w:abstractNumId w:val="1"/>
  </w:num>
  <w:num w:numId="18">
    <w:abstractNumId w:val="8"/>
  </w:num>
  <w:num w:numId="19">
    <w:abstractNumId w:val="1"/>
  </w:num>
  <w:num w:numId="20">
    <w:abstractNumId w:val="1"/>
  </w:num>
  <w:num w:numId="21">
    <w:abstractNumId w:val="8"/>
  </w:num>
  <w:num w:numId="22">
    <w:abstractNumId w:val="9"/>
  </w:num>
  <w:num w:numId="23">
    <w:abstractNumId w:val="9"/>
  </w:num>
  <w:num w:numId="24">
    <w:abstractNumId w:val="5"/>
  </w:num>
  <w:num w:numId="25">
    <w:abstractNumId w:val="9"/>
  </w:num>
  <w:num w:numId="26">
    <w:abstractNumId w:val="9"/>
  </w:num>
  <w:num w:numId="27">
    <w:abstractNumId w:val="9"/>
  </w:num>
  <w:num w:numId="28">
    <w:abstractNumId w:val="9"/>
  </w:num>
  <w:num w:numId="29">
    <w:abstractNumId w:val="5"/>
  </w:num>
  <w:num w:numId="30">
    <w:abstractNumId w:val="9"/>
  </w:num>
  <w:num w:numId="31">
    <w:abstractNumId w:val="9"/>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Richey">
    <w15:presenceInfo w15:providerId="Windows Live" w15:userId="c2f189a618004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3D"/>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3669"/>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610"/>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340"/>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B55"/>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DB"/>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261"/>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203"/>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E36"/>
    <w:rsid w:val="002E2FFA"/>
    <w:rsid w:val="002E3278"/>
    <w:rsid w:val="002E356B"/>
    <w:rsid w:val="002E3674"/>
    <w:rsid w:val="002E37E3"/>
    <w:rsid w:val="002E3CE8"/>
    <w:rsid w:val="002E4689"/>
    <w:rsid w:val="002E4C7D"/>
    <w:rsid w:val="002E662F"/>
    <w:rsid w:val="002E6784"/>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506"/>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4E92"/>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18D"/>
    <w:rsid w:val="007D43D6"/>
    <w:rsid w:val="007D44DB"/>
    <w:rsid w:val="007D4689"/>
    <w:rsid w:val="007D470D"/>
    <w:rsid w:val="007D4BED"/>
    <w:rsid w:val="007D4C0A"/>
    <w:rsid w:val="007D549C"/>
    <w:rsid w:val="007D5515"/>
    <w:rsid w:val="007D612C"/>
    <w:rsid w:val="007D6D01"/>
    <w:rsid w:val="007D6D72"/>
    <w:rsid w:val="007E035A"/>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0B2"/>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4E95"/>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21D5"/>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09C"/>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603"/>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C81"/>
    <w:rsid w:val="00901E1C"/>
    <w:rsid w:val="00902293"/>
    <w:rsid w:val="0090242F"/>
    <w:rsid w:val="00902C7A"/>
    <w:rsid w:val="00902C90"/>
    <w:rsid w:val="00902D7D"/>
    <w:rsid w:val="00902D83"/>
    <w:rsid w:val="00903204"/>
    <w:rsid w:val="009034B8"/>
    <w:rsid w:val="0090379A"/>
    <w:rsid w:val="009042DC"/>
    <w:rsid w:val="0090432C"/>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4FFF"/>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D"/>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1B1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483"/>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81E"/>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513"/>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372"/>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42B"/>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8AE"/>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8B8"/>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3BB2"/>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6FAF"/>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6ED4"/>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7EA"/>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143"/>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1E3D"/>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4E"/>
    <w:rPr>
      <w:rFonts w:ascii="Perpetua Std" w:hAnsi="Perpetua Std"/>
    </w:rPr>
  </w:style>
  <w:style w:type="paragraph" w:styleId="Heading1">
    <w:name w:val="heading 1"/>
    <w:basedOn w:val="Normal"/>
    <w:next w:val="Normal"/>
    <w:qFormat/>
    <w:rsid w:val="00977971"/>
    <w:pPr>
      <w:keepNext/>
      <w:outlineLvl w:val="0"/>
    </w:pPr>
    <w:rPr>
      <w:b/>
    </w:rPr>
  </w:style>
  <w:style w:type="paragraph" w:styleId="Heading2">
    <w:name w:val="heading 2"/>
    <w:basedOn w:val="Normal"/>
    <w:next w:val="Normal"/>
    <w:qFormat/>
    <w:rsid w:val="00977971"/>
    <w:pPr>
      <w:keepNext/>
      <w:spacing w:before="240" w:after="60"/>
      <w:outlineLvl w:val="1"/>
    </w:pPr>
    <w:rPr>
      <w:rFonts w:ascii="Arial" w:hAnsi="Arial"/>
      <w:b/>
      <w:i/>
      <w:sz w:val="24"/>
    </w:rPr>
  </w:style>
  <w:style w:type="paragraph" w:styleId="Heading3">
    <w:name w:val="heading 3"/>
    <w:basedOn w:val="Normal"/>
    <w:next w:val="Normal"/>
    <w:qFormat/>
    <w:rsid w:val="0097797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504"/>
    <w:pPr>
      <w:tabs>
        <w:tab w:val="center" w:pos="4320"/>
        <w:tab w:val="right" w:pos="8640"/>
      </w:tabs>
    </w:pPr>
  </w:style>
  <w:style w:type="paragraph" w:styleId="Header">
    <w:name w:val="header"/>
    <w:basedOn w:val="Normal"/>
    <w:rsid w:val="00D135CC"/>
    <w:pPr>
      <w:tabs>
        <w:tab w:val="center" w:pos="4320"/>
        <w:tab w:val="right" w:pos="8640"/>
      </w:tabs>
    </w:pPr>
  </w:style>
  <w:style w:type="paragraph" w:customStyle="1" w:styleId="Standard">
    <w:name w:val="Standard"/>
    <w:rsid w:val="0010273E"/>
    <w:pPr>
      <w:spacing w:before="144"/>
      <w:jc w:val="both"/>
    </w:pPr>
    <w:rPr>
      <w:noProof/>
    </w:rPr>
  </w:style>
  <w:style w:type="paragraph" w:customStyle="1" w:styleId="PA">
    <w:name w:val="PA"/>
    <w:next w:val="Normal"/>
    <w:link w:val="PAChar"/>
    <w:qFormat/>
    <w:rsid w:val="007F4FF3"/>
    <w:pPr>
      <w:spacing w:after="240"/>
      <w:ind w:firstLine="288"/>
      <w:jc w:val="both"/>
    </w:pPr>
    <w:rPr>
      <w:rFonts w:ascii="Perpetua Std" w:hAnsi="Perpetua Std"/>
      <w:color w:val="000000"/>
      <w:sz w:val="24"/>
    </w:rPr>
  </w:style>
  <w:style w:type="character" w:customStyle="1" w:styleId="PAChar">
    <w:name w:val="PA Char"/>
    <w:link w:val="PA"/>
    <w:rsid w:val="007F4FF3"/>
    <w:rPr>
      <w:rFonts w:ascii="Perpetua Std" w:hAnsi="Perpetua Std"/>
      <w:color w:val="000000"/>
      <w:sz w:val="24"/>
    </w:rPr>
  </w:style>
  <w:style w:type="paragraph" w:customStyle="1" w:styleId="PB">
    <w:name w:val="PB"/>
    <w:rsid w:val="00977971"/>
    <w:pPr>
      <w:spacing w:after="240"/>
      <w:jc w:val="both"/>
    </w:pPr>
    <w:rPr>
      <w:rFonts w:ascii="Perpetua Std" w:hAnsi="Perpetua Std"/>
      <w:color w:val="000000"/>
      <w:sz w:val="24"/>
    </w:rPr>
  </w:style>
  <w:style w:type="paragraph" w:customStyle="1" w:styleId="PC">
    <w:name w:val="PC"/>
    <w:rsid w:val="00977971"/>
    <w:pPr>
      <w:tabs>
        <w:tab w:val="left" w:pos="720"/>
      </w:tabs>
      <w:spacing w:after="240"/>
      <w:ind w:left="720" w:hanging="360"/>
      <w:jc w:val="both"/>
    </w:pPr>
    <w:rPr>
      <w:rFonts w:ascii="Perpetua Std" w:hAnsi="Perpetua Std"/>
      <w:color w:val="000000"/>
      <w:sz w:val="24"/>
    </w:rPr>
  </w:style>
  <w:style w:type="paragraph" w:customStyle="1" w:styleId="PD">
    <w:name w:val="PD"/>
    <w:rsid w:val="00977971"/>
    <w:pPr>
      <w:spacing w:after="240"/>
      <w:ind w:left="720" w:firstLine="288"/>
      <w:jc w:val="both"/>
    </w:pPr>
    <w:rPr>
      <w:rFonts w:ascii="Perpetua Std" w:hAnsi="Perpetua Std"/>
      <w:color w:val="000000"/>
      <w:sz w:val="24"/>
    </w:rPr>
  </w:style>
  <w:style w:type="paragraph" w:customStyle="1" w:styleId="PE">
    <w:name w:val="PE"/>
    <w:rsid w:val="00977971"/>
    <w:pPr>
      <w:spacing w:after="240"/>
      <w:ind w:left="720"/>
      <w:jc w:val="both"/>
    </w:pPr>
    <w:rPr>
      <w:rFonts w:ascii="Perpetua Std" w:hAnsi="Perpetua Std"/>
      <w:color w:val="000000"/>
      <w:sz w:val="24"/>
    </w:rPr>
  </w:style>
  <w:style w:type="paragraph" w:customStyle="1" w:styleId="PF">
    <w:name w:val="PF"/>
    <w:rsid w:val="00977971"/>
    <w:pPr>
      <w:tabs>
        <w:tab w:val="left" w:pos="1080"/>
      </w:tabs>
      <w:spacing w:after="240"/>
      <w:ind w:left="1080" w:hanging="360"/>
      <w:jc w:val="both"/>
    </w:pPr>
    <w:rPr>
      <w:rFonts w:ascii="Perpetua Std" w:hAnsi="Perpetua Std"/>
      <w:color w:val="000000"/>
      <w:sz w:val="24"/>
    </w:rPr>
  </w:style>
  <w:style w:type="paragraph" w:customStyle="1" w:styleId="PG">
    <w:name w:val="PG"/>
    <w:rsid w:val="00977971"/>
    <w:pPr>
      <w:spacing w:after="240"/>
      <w:ind w:left="360"/>
      <w:jc w:val="both"/>
    </w:pPr>
    <w:rPr>
      <w:rFonts w:ascii="Perpetua Std" w:hAnsi="Perpetua Std"/>
      <w:color w:val="000000"/>
      <w:sz w:val="24"/>
    </w:rPr>
  </w:style>
  <w:style w:type="paragraph" w:customStyle="1" w:styleId="PH">
    <w:name w:val="PH"/>
    <w:rsid w:val="00977971"/>
    <w:pPr>
      <w:tabs>
        <w:tab w:val="left" w:pos="360"/>
      </w:tabs>
      <w:spacing w:after="240"/>
      <w:ind w:left="360" w:hanging="360"/>
      <w:jc w:val="both"/>
    </w:pPr>
    <w:rPr>
      <w:rFonts w:ascii="Perpetua Std" w:hAnsi="Perpetua Std"/>
      <w:color w:val="000000"/>
      <w:sz w:val="24"/>
    </w:rPr>
  </w:style>
  <w:style w:type="paragraph" w:customStyle="1" w:styleId="PI">
    <w:name w:val="PI"/>
    <w:rsid w:val="00977971"/>
    <w:pPr>
      <w:spacing w:after="240"/>
      <w:ind w:left="360" w:hanging="360"/>
      <w:jc w:val="both"/>
    </w:pPr>
    <w:rPr>
      <w:rFonts w:ascii="Perpetua Std" w:hAnsi="Perpetua Std"/>
      <w:color w:val="000000"/>
      <w:sz w:val="24"/>
    </w:rPr>
  </w:style>
  <w:style w:type="paragraph" w:customStyle="1" w:styleId="PK">
    <w:name w:val="PK"/>
    <w:rsid w:val="00977971"/>
    <w:pPr>
      <w:spacing w:after="240"/>
      <w:ind w:left="360" w:firstLine="288"/>
      <w:jc w:val="both"/>
    </w:pPr>
    <w:rPr>
      <w:rFonts w:ascii="Perpetua Std" w:hAnsi="Perpetua Std"/>
      <w:color w:val="000000"/>
      <w:sz w:val="24"/>
    </w:rPr>
  </w:style>
  <w:style w:type="paragraph" w:customStyle="1" w:styleId="PL">
    <w:name w:val="PL"/>
    <w:rsid w:val="005E756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E7568"/>
    <w:pPr>
      <w:spacing w:after="240"/>
      <w:ind w:left="432" w:right="432" w:firstLine="432"/>
      <w:jc w:val="both"/>
    </w:pPr>
    <w:rPr>
      <w:rFonts w:ascii="Minion Pro" w:hAnsi="Minion Pro"/>
    </w:rPr>
  </w:style>
  <w:style w:type="paragraph" w:customStyle="1" w:styleId="TOC">
    <w:name w:val="TOC"/>
    <w:autoRedefine/>
    <w:rsid w:val="00BA742B"/>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B1281E"/>
    <w:pPr>
      <w:tabs>
        <w:tab w:val="clear" w:pos="8640"/>
        <w:tab w:val="left" w:pos="240"/>
        <w:tab w:val="left" w:pos="450"/>
        <w:tab w:val="right" w:leader="dot" w:pos="4680"/>
      </w:tabs>
      <w:ind w:left="0" w:firstLine="0"/>
    </w:pPr>
    <w:rPr>
      <w:sz w:val="20"/>
    </w:rPr>
  </w:style>
  <w:style w:type="paragraph" w:customStyle="1" w:styleId="QU">
    <w:name w:val="QU"/>
    <w:qFormat/>
    <w:rsid w:val="00977971"/>
    <w:pPr>
      <w:spacing w:after="240"/>
      <w:jc w:val="both"/>
    </w:pPr>
    <w:rPr>
      <w:rFonts w:ascii="Helvetica LT Std" w:hAnsi="Helvetica LT Std"/>
      <w:b/>
      <w:color w:val="000000"/>
      <w:sz w:val="26"/>
    </w:rPr>
  </w:style>
  <w:style w:type="paragraph" w:customStyle="1" w:styleId="PQ">
    <w:name w:val="PQ"/>
    <w:link w:val="PQChar"/>
    <w:rsid w:val="0097797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D5504"/>
    <w:rPr>
      <w:rFonts w:ascii="Adobe Caslon Pro" w:hAnsi="Adobe Caslon Pro"/>
      <w:color w:val="000000"/>
      <w:sz w:val="14"/>
      <w:lang w:val="en-US" w:eastAsia="en-US" w:bidi="ar-SA"/>
    </w:rPr>
  </w:style>
  <w:style w:type="paragraph" w:customStyle="1" w:styleId="HD">
    <w:name w:val="HD"/>
    <w:rsid w:val="00DF6ED4"/>
    <w:pPr>
      <w:suppressAutoHyphens/>
      <w:spacing w:before="120" w:after="120"/>
      <w:jc w:val="center"/>
    </w:pPr>
    <w:rPr>
      <w:rFonts w:ascii="Helvetica LT Std" w:hAnsi="Helvetica LT Std"/>
      <w:sz w:val="26"/>
      <w:szCs w:val="18"/>
    </w:rPr>
  </w:style>
  <w:style w:type="paragraph" w:customStyle="1" w:styleId="PP">
    <w:name w:val="PP"/>
    <w:rsid w:val="0097797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977971"/>
    <w:pPr>
      <w:spacing w:before="120" w:after="120"/>
      <w:jc w:val="center"/>
    </w:pPr>
    <w:rPr>
      <w:rFonts w:ascii="Helvetica LT Std" w:hAnsi="Helvetica LT Std"/>
      <w:sz w:val="24"/>
    </w:rPr>
  </w:style>
  <w:style w:type="paragraph" w:customStyle="1" w:styleId="PN">
    <w:name w:val="PN"/>
    <w:qFormat/>
    <w:rsid w:val="00977971"/>
    <w:pPr>
      <w:spacing w:after="240"/>
      <w:ind w:left="720" w:firstLine="288"/>
      <w:jc w:val="both"/>
    </w:pPr>
    <w:rPr>
      <w:rFonts w:ascii="Perpetua Std" w:eastAsia="MS Mincho" w:hAnsi="Perpetua Std"/>
      <w:color w:val="000000"/>
    </w:rPr>
  </w:style>
  <w:style w:type="table" w:styleId="TableGrid">
    <w:name w:val="Table Grid"/>
    <w:basedOn w:val="TableNormal"/>
    <w:rsid w:val="00FD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77971"/>
    <w:rPr>
      <w:vertAlign w:val="superscript"/>
    </w:rPr>
  </w:style>
  <w:style w:type="paragraph" w:customStyle="1" w:styleId="HA">
    <w:name w:val="HA"/>
    <w:autoRedefine/>
    <w:qFormat/>
    <w:rsid w:val="003E0B9B"/>
    <w:pPr>
      <w:spacing w:after="240"/>
      <w:jc w:val="center"/>
    </w:pPr>
    <w:rPr>
      <w:rFonts w:ascii="Helvetica LT Std" w:hAnsi="Helvetica LT Std"/>
      <w:b/>
      <w:caps/>
      <w:color w:val="000000"/>
      <w:sz w:val="36"/>
      <w:szCs w:val="32"/>
    </w:rPr>
  </w:style>
  <w:style w:type="paragraph" w:customStyle="1" w:styleId="HB">
    <w:name w:val="HB"/>
    <w:qFormat/>
    <w:rsid w:val="00D73BB2"/>
    <w:pPr>
      <w:spacing w:before="120" w:after="240"/>
      <w:jc w:val="center"/>
    </w:pPr>
    <w:rPr>
      <w:rFonts w:ascii="Helvetica LT Std" w:hAnsi="Helvetica LT Std"/>
      <w:b/>
      <w:color w:val="5F5F5F"/>
      <w:w w:val="105"/>
      <w:sz w:val="32"/>
    </w:rPr>
  </w:style>
  <w:style w:type="paragraph" w:customStyle="1" w:styleId="HC">
    <w:name w:val="HC"/>
    <w:autoRedefine/>
    <w:rsid w:val="008820B3"/>
    <w:pPr>
      <w:tabs>
        <w:tab w:val="left" w:pos="284"/>
      </w:tabs>
      <w:spacing w:before="120" w:after="120"/>
      <w:jc w:val="center"/>
    </w:pPr>
    <w:rPr>
      <w:rFonts w:ascii="Helvetica LT Std" w:hAnsi="Helvetica LT Std"/>
      <w:b/>
      <w:color w:val="000000"/>
      <w:w w:val="110"/>
      <w:sz w:val="26"/>
    </w:rPr>
  </w:style>
  <w:style w:type="paragraph" w:customStyle="1" w:styleId="PR">
    <w:name w:val="PR"/>
    <w:rsid w:val="00977971"/>
    <w:pPr>
      <w:spacing w:after="240"/>
      <w:ind w:left="360" w:firstLine="288"/>
      <w:jc w:val="both"/>
    </w:pPr>
    <w:rPr>
      <w:rFonts w:ascii="Adobe Caslon Pro" w:hAnsi="Adobe Caslon Pro"/>
      <w:color w:val="000000"/>
      <w:sz w:val="14"/>
    </w:rPr>
  </w:style>
  <w:style w:type="paragraph" w:customStyle="1" w:styleId="PO">
    <w:name w:val="PO"/>
    <w:rsid w:val="00977971"/>
    <w:pPr>
      <w:spacing w:after="240"/>
      <w:jc w:val="both"/>
    </w:pPr>
    <w:rPr>
      <w:rFonts w:ascii="Perpetua Std" w:hAnsi="Perpetua Std"/>
      <w:color w:val="000000"/>
      <w:w w:val="95"/>
      <w:szCs w:val="16"/>
    </w:rPr>
  </w:style>
  <w:style w:type="paragraph" w:customStyle="1" w:styleId="GUIDEX">
    <w:name w:val="GUIDEX"/>
    <w:rsid w:val="0097797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8176D"/>
    <w:pPr>
      <w:tabs>
        <w:tab w:val="clear" w:pos="240"/>
        <w:tab w:val="clear" w:pos="720"/>
        <w:tab w:val="right" w:pos="4680"/>
      </w:tabs>
    </w:pPr>
  </w:style>
  <w:style w:type="paragraph" w:customStyle="1" w:styleId="PCB">
    <w:name w:val="PCB"/>
    <w:autoRedefine/>
    <w:qFormat/>
    <w:rsid w:val="007E799B"/>
    <w:pPr>
      <w:numPr>
        <w:numId w:val="20"/>
      </w:numPr>
      <w:tabs>
        <w:tab w:val="left" w:pos="720"/>
      </w:tabs>
      <w:spacing w:after="240"/>
      <w:ind w:left="720"/>
      <w:jc w:val="both"/>
    </w:pPr>
    <w:rPr>
      <w:rFonts w:ascii="Perpetua Std" w:hAnsi="Perpetua Std"/>
      <w:color w:val="000000"/>
      <w:sz w:val="24"/>
    </w:rPr>
  </w:style>
  <w:style w:type="paragraph" w:customStyle="1" w:styleId="PFB">
    <w:name w:val="PFB"/>
    <w:autoRedefine/>
    <w:qFormat/>
    <w:rsid w:val="007E799B"/>
    <w:pPr>
      <w:numPr>
        <w:numId w:val="21"/>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85624E"/>
    <w:rPr>
      <w:rFonts w:ascii="Perpetua Std" w:hAnsi="Perpetua Std"/>
    </w:rPr>
  </w:style>
  <w:style w:type="paragraph" w:styleId="NoSpacing">
    <w:name w:val="No Spacing"/>
    <w:uiPriority w:val="1"/>
    <w:qFormat/>
    <w:rsid w:val="0085624E"/>
    <w:rPr>
      <w:rFonts w:ascii="Perpetua" w:hAnsi="Perpetua"/>
    </w:rPr>
  </w:style>
  <w:style w:type="paragraph" w:customStyle="1" w:styleId="PCA">
    <w:name w:val="PCA"/>
    <w:qFormat/>
    <w:rsid w:val="00702ECE"/>
    <w:pPr>
      <w:numPr>
        <w:numId w:val="32"/>
      </w:numPr>
      <w:tabs>
        <w:tab w:val="left" w:pos="720"/>
      </w:tabs>
      <w:spacing w:after="240"/>
      <w:jc w:val="both"/>
    </w:pPr>
    <w:rPr>
      <w:rFonts w:ascii="Perpetua Std" w:hAnsi="Perpetua Std"/>
      <w:sz w:val="24"/>
    </w:rPr>
  </w:style>
  <w:style w:type="paragraph" w:customStyle="1" w:styleId="PHB">
    <w:name w:val="PHB"/>
    <w:rsid w:val="008145A4"/>
    <w:pPr>
      <w:numPr>
        <w:numId w:val="29"/>
      </w:numPr>
      <w:tabs>
        <w:tab w:val="left" w:pos="360"/>
      </w:tabs>
      <w:spacing w:after="240"/>
      <w:jc w:val="both"/>
    </w:pPr>
    <w:rPr>
      <w:rFonts w:ascii="Perpetua Std" w:hAnsi="Perpetua Std"/>
      <w:sz w:val="24"/>
    </w:rPr>
  </w:style>
  <w:style w:type="character" w:customStyle="1" w:styleId="IndexChar">
    <w:name w:val="Index Char"/>
    <w:link w:val="Index"/>
    <w:rsid w:val="00B1281E"/>
    <w:rPr>
      <w:rFonts w:ascii="Perpetua Std" w:eastAsia="MS Mincho" w:hAnsi="Perpetua Std"/>
      <w:color w:val="000000"/>
    </w:rPr>
  </w:style>
  <w:style w:type="paragraph" w:styleId="FootnoteText">
    <w:name w:val="footnote text"/>
    <w:basedOn w:val="Normal"/>
    <w:link w:val="FootnoteTextChar"/>
    <w:uiPriority w:val="99"/>
    <w:unhideWhenUsed/>
    <w:rsid w:val="00F31E3D"/>
    <w:pPr>
      <w:spacing w:after="200"/>
    </w:pPr>
    <w:rPr>
      <w:rFonts w:ascii="Calibri" w:eastAsia="Calibri" w:hAnsi="Calibri"/>
    </w:rPr>
  </w:style>
  <w:style w:type="character" w:customStyle="1" w:styleId="FootnoteTextChar">
    <w:name w:val="Footnote Text Char"/>
    <w:link w:val="FootnoteText"/>
    <w:uiPriority w:val="99"/>
    <w:rsid w:val="00F31E3D"/>
    <w:rPr>
      <w:rFonts w:ascii="Calibri" w:eastAsia="Calibri" w:hAnsi="Calibri"/>
    </w:rPr>
  </w:style>
  <w:style w:type="paragraph" w:customStyle="1" w:styleId="table4colhead">
    <w:name w:val="table 4 col head"/>
    <w:basedOn w:val="Normal"/>
    <w:next w:val="Normal"/>
    <w:rsid w:val="00F03143"/>
    <w:pPr>
      <w:widowControl w:val="0"/>
      <w:tabs>
        <w:tab w:val="left" w:pos="1500"/>
        <w:tab w:val="left" w:pos="2640"/>
        <w:tab w:val="left" w:pos="3960"/>
        <w:tab w:val="left" w:pos="5580"/>
      </w:tabs>
      <w:autoSpaceDE w:val="0"/>
      <w:autoSpaceDN w:val="0"/>
      <w:spacing w:before="480" w:after="120" w:line="260" w:lineRule="atLeast"/>
    </w:pPr>
    <w:rPr>
      <w:rFonts w:ascii="Times" w:hAnsi="Times" w:cs="Times"/>
      <w:i/>
      <w:iCs/>
    </w:rPr>
  </w:style>
  <w:style w:type="paragraph" w:customStyle="1" w:styleId="Extract1">
    <w:name w:val="Extract 1"/>
    <w:basedOn w:val="Normal"/>
    <w:rsid w:val="00F03143"/>
    <w:pPr>
      <w:widowControl w:val="0"/>
      <w:autoSpaceDE w:val="0"/>
      <w:autoSpaceDN w:val="0"/>
      <w:spacing w:before="240" w:after="200" w:line="280" w:lineRule="atLeast"/>
      <w:ind w:left="360"/>
      <w:jc w:val="both"/>
    </w:pPr>
    <w:rPr>
      <w:rFonts w:ascii="Times" w:eastAsia="Calibri" w:hAnsi="Times" w:cs="Times"/>
      <w:sz w:val="24"/>
      <w:szCs w:val="24"/>
    </w:rPr>
  </w:style>
  <w:style w:type="character" w:customStyle="1" w:styleId="st">
    <w:name w:val="st"/>
    <w:rsid w:val="00F03143"/>
  </w:style>
  <w:style w:type="paragraph" w:customStyle="1" w:styleId="PIWS">
    <w:name w:val="PIWS"/>
    <w:basedOn w:val="Normal"/>
    <w:rsid w:val="00F03143"/>
    <w:pPr>
      <w:widowControl w:val="0"/>
      <w:autoSpaceDE w:val="0"/>
      <w:autoSpaceDN w:val="0"/>
      <w:spacing w:before="240" w:after="200" w:line="280" w:lineRule="atLeast"/>
      <w:ind w:firstLine="240"/>
      <w:jc w:val="both"/>
    </w:pPr>
    <w:rPr>
      <w:rFonts w:ascii="Times" w:hAnsi="Times" w:cs="Times"/>
      <w:sz w:val="24"/>
      <w:szCs w:val="24"/>
    </w:rPr>
  </w:style>
  <w:style w:type="paragraph" w:styleId="BalloonText">
    <w:name w:val="Balloon Text"/>
    <w:basedOn w:val="Normal"/>
    <w:link w:val="BalloonTextChar"/>
    <w:rsid w:val="00901C81"/>
    <w:rPr>
      <w:rFonts w:ascii="Tahoma" w:hAnsi="Tahoma" w:cs="Tahoma"/>
      <w:sz w:val="16"/>
      <w:szCs w:val="16"/>
    </w:rPr>
  </w:style>
  <w:style w:type="character" w:customStyle="1" w:styleId="BalloonTextChar">
    <w:name w:val="Balloon Text Char"/>
    <w:basedOn w:val="DefaultParagraphFont"/>
    <w:link w:val="BalloonText"/>
    <w:rsid w:val="00901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4E"/>
    <w:rPr>
      <w:rFonts w:ascii="Perpetua Std" w:hAnsi="Perpetua Std"/>
    </w:rPr>
  </w:style>
  <w:style w:type="paragraph" w:styleId="Heading1">
    <w:name w:val="heading 1"/>
    <w:basedOn w:val="Normal"/>
    <w:next w:val="Normal"/>
    <w:qFormat/>
    <w:rsid w:val="00977971"/>
    <w:pPr>
      <w:keepNext/>
      <w:outlineLvl w:val="0"/>
    </w:pPr>
    <w:rPr>
      <w:b/>
    </w:rPr>
  </w:style>
  <w:style w:type="paragraph" w:styleId="Heading2">
    <w:name w:val="heading 2"/>
    <w:basedOn w:val="Normal"/>
    <w:next w:val="Normal"/>
    <w:qFormat/>
    <w:rsid w:val="00977971"/>
    <w:pPr>
      <w:keepNext/>
      <w:spacing w:before="240" w:after="60"/>
      <w:outlineLvl w:val="1"/>
    </w:pPr>
    <w:rPr>
      <w:rFonts w:ascii="Arial" w:hAnsi="Arial"/>
      <w:b/>
      <w:i/>
      <w:sz w:val="24"/>
    </w:rPr>
  </w:style>
  <w:style w:type="paragraph" w:styleId="Heading3">
    <w:name w:val="heading 3"/>
    <w:basedOn w:val="Normal"/>
    <w:next w:val="Normal"/>
    <w:qFormat/>
    <w:rsid w:val="0097797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504"/>
    <w:pPr>
      <w:tabs>
        <w:tab w:val="center" w:pos="4320"/>
        <w:tab w:val="right" w:pos="8640"/>
      </w:tabs>
    </w:pPr>
  </w:style>
  <w:style w:type="paragraph" w:styleId="Header">
    <w:name w:val="header"/>
    <w:basedOn w:val="Normal"/>
    <w:rsid w:val="00D135CC"/>
    <w:pPr>
      <w:tabs>
        <w:tab w:val="center" w:pos="4320"/>
        <w:tab w:val="right" w:pos="8640"/>
      </w:tabs>
    </w:pPr>
  </w:style>
  <w:style w:type="paragraph" w:customStyle="1" w:styleId="Standard">
    <w:name w:val="Standard"/>
    <w:rsid w:val="0010273E"/>
    <w:pPr>
      <w:spacing w:before="144"/>
      <w:jc w:val="both"/>
    </w:pPr>
    <w:rPr>
      <w:noProof/>
    </w:rPr>
  </w:style>
  <w:style w:type="paragraph" w:customStyle="1" w:styleId="PA">
    <w:name w:val="PA"/>
    <w:next w:val="Normal"/>
    <w:link w:val="PAChar"/>
    <w:qFormat/>
    <w:rsid w:val="007F4FF3"/>
    <w:pPr>
      <w:spacing w:after="240"/>
      <w:ind w:firstLine="288"/>
      <w:jc w:val="both"/>
    </w:pPr>
    <w:rPr>
      <w:rFonts w:ascii="Perpetua Std" w:hAnsi="Perpetua Std"/>
      <w:color w:val="000000"/>
      <w:sz w:val="24"/>
    </w:rPr>
  </w:style>
  <w:style w:type="character" w:customStyle="1" w:styleId="PAChar">
    <w:name w:val="PA Char"/>
    <w:link w:val="PA"/>
    <w:rsid w:val="007F4FF3"/>
    <w:rPr>
      <w:rFonts w:ascii="Perpetua Std" w:hAnsi="Perpetua Std"/>
      <w:color w:val="000000"/>
      <w:sz w:val="24"/>
    </w:rPr>
  </w:style>
  <w:style w:type="paragraph" w:customStyle="1" w:styleId="PB">
    <w:name w:val="PB"/>
    <w:rsid w:val="00977971"/>
    <w:pPr>
      <w:spacing w:after="240"/>
      <w:jc w:val="both"/>
    </w:pPr>
    <w:rPr>
      <w:rFonts w:ascii="Perpetua Std" w:hAnsi="Perpetua Std"/>
      <w:color w:val="000000"/>
      <w:sz w:val="24"/>
    </w:rPr>
  </w:style>
  <w:style w:type="paragraph" w:customStyle="1" w:styleId="PC">
    <w:name w:val="PC"/>
    <w:rsid w:val="00977971"/>
    <w:pPr>
      <w:tabs>
        <w:tab w:val="left" w:pos="720"/>
      </w:tabs>
      <w:spacing w:after="240"/>
      <w:ind w:left="720" w:hanging="360"/>
      <w:jc w:val="both"/>
    </w:pPr>
    <w:rPr>
      <w:rFonts w:ascii="Perpetua Std" w:hAnsi="Perpetua Std"/>
      <w:color w:val="000000"/>
      <w:sz w:val="24"/>
    </w:rPr>
  </w:style>
  <w:style w:type="paragraph" w:customStyle="1" w:styleId="PD">
    <w:name w:val="PD"/>
    <w:rsid w:val="00977971"/>
    <w:pPr>
      <w:spacing w:after="240"/>
      <w:ind w:left="720" w:firstLine="288"/>
      <w:jc w:val="both"/>
    </w:pPr>
    <w:rPr>
      <w:rFonts w:ascii="Perpetua Std" w:hAnsi="Perpetua Std"/>
      <w:color w:val="000000"/>
      <w:sz w:val="24"/>
    </w:rPr>
  </w:style>
  <w:style w:type="paragraph" w:customStyle="1" w:styleId="PE">
    <w:name w:val="PE"/>
    <w:rsid w:val="00977971"/>
    <w:pPr>
      <w:spacing w:after="240"/>
      <w:ind w:left="720"/>
      <w:jc w:val="both"/>
    </w:pPr>
    <w:rPr>
      <w:rFonts w:ascii="Perpetua Std" w:hAnsi="Perpetua Std"/>
      <w:color w:val="000000"/>
      <w:sz w:val="24"/>
    </w:rPr>
  </w:style>
  <w:style w:type="paragraph" w:customStyle="1" w:styleId="PF">
    <w:name w:val="PF"/>
    <w:rsid w:val="00977971"/>
    <w:pPr>
      <w:tabs>
        <w:tab w:val="left" w:pos="1080"/>
      </w:tabs>
      <w:spacing w:after="240"/>
      <w:ind w:left="1080" w:hanging="360"/>
      <w:jc w:val="both"/>
    </w:pPr>
    <w:rPr>
      <w:rFonts w:ascii="Perpetua Std" w:hAnsi="Perpetua Std"/>
      <w:color w:val="000000"/>
      <w:sz w:val="24"/>
    </w:rPr>
  </w:style>
  <w:style w:type="paragraph" w:customStyle="1" w:styleId="PG">
    <w:name w:val="PG"/>
    <w:rsid w:val="00977971"/>
    <w:pPr>
      <w:spacing w:after="240"/>
      <w:ind w:left="360"/>
      <w:jc w:val="both"/>
    </w:pPr>
    <w:rPr>
      <w:rFonts w:ascii="Perpetua Std" w:hAnsi="Perpetua Std"/>
      <w:color w:val="000000"/>
      <w:sz w:val="24"/>
    </w:rPr>
  </w:style>
  <w:style w:type="paragraph" w:customStyle="1" w:styleId="PH">
    <w:name w:val="PH"/>
    <w:rsid w:val="00977971"/>
    <w:pPr>
      <w:tabs>
        <w:tab w:val="left" w:pos="360"/>
      </w:tabs>
      <w:spacing w:after="240"/>
      <w:ind w:left="360" w:hanging="360"/>
      <w:jc w:val="both"/>
    </w:pPr>
    <w:rPr>
      <w:rFonts w:ascii="Perpetua Std" w:hAnsi="Perpetua Std"/>
      <w:color w:val="000000"/>
      <w:sz w:val="24"/>
    </w:rPr>
  </w:style>
  <w:style w:type="paragraph" w:customStyle="1" w:styleId="PI">
    <w:name w:val="PI"/>
    <w:rsid w:val="00977971"/>
    <w:pPr>
      <w:spacing w:after="240"/>
      <w:ind w:left="360" w:hanging="360"/>
      <w:jc w:val="both"/>
    </w:pPr>
    <w:rPr>
      <w:rFonts w:ascii="Perpetua Std" w:hAnsi="Perpetua Std"/>
      <w:color w:val="000000"/>
      <w:sz w:val="24"/>
    </w:rPr>
  </w:style>
  <w:style w:type="paragraph" w:customStyle="1" w:styleId="PK">
    <w:name w:val="PK"/>
    <w:rsid w:val="00977971"/>
    <w:pPr>
      <w:spacing w:after="240"/>
      <w:ind w:left="360" w:firstLine="288"/>
      <w:jc w:val="both"/>
    </w:pPr>
    <w:rPr>
      <w:rFonts w:ascii="Perpetua Std" w:hAnsi="Perpetua Std"/>
      <w:color w:val="000000"/>
      <w:sz w:val="24"/>
    </w:rPr>
  </w:style>
  <w:style w:type="paragraph" w:customStyle="1" w:styleId="PL">
    <w:name w:val="PL"/>
    <w:rsid w:val="005E7568"/>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5E7568"/>
    <w:pPr>
      <w:spacing w:after="240"/>
      <w:ind w:left="432" w:right="432" w:firstLine="432"/>
      <w:jc w:val="both"/>
    </w:pPr>
    <w:rPr>
      <w:rFonts w:ascii="Minion Pro" w:hAnsi="Minion Pro"/>
    </w:rPr>
  </w:style>
  <w:style w:type="paragraph" w:customStyle="1" w:styleId="TOC">
    <w:name w:val="TOC"/>
    <w:autoRedefine/>
    <w:rsid w:val="00BA742B"/>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B1281E"/>
    <w:pPr>
      <w:tabs>
        <w:tab w:val="clear" w:pos="8640"/>
        <w:tab w:val="left" w:pos="240"/>
        <w:tab w:val="left" w:pos="450"/>
        <w:tab w:val="right" w:leader="dot" w:pos="4680"/>
      </w:tabs>
      <w:ind w:left="0" w:firstLine="0"/>
    </w:pPr>
    <w:rPr>
      <w:sz w:val="20"/>
    </w:rPr>
  </w:style>
  <w:style w:type="paragraph" w:customStyle="1" w:styleId="QU">
    <w:name w:val="QU"/>
    <w:qFormat/>
    <w:rsid w:val="00977971"/>
    <w:pPr>
      <w:spacing w:after="240"/>
      <w:jc w:val="both"/>
    </w:pPr>
    <w:rPr>
      <w:rFonts w:ascii="Helvetica LT Std" w:hAnsi="Helvetica LT Std"/>
      <w:b/>
      <w:color w:val="000000"/>
      <w:sz w:val="26"/>
    </w:rPr>
  </w:style>
  <w:style w:type="paragraph" w:customStyle="1" w:styleId="PQ">
    <w:name w:val="PQ"/>
    <w:link w:val="PQChar"/>
    <w:rsid w:val="0097797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D5504"/>
    <w:rPr>
      <w:rFonts w:ascii="Adobe Caslon Pro" w:hAnsi="Adobe Caslon Pro"/>
      <w:color w:val="000000"/>
      <w:sz w:val="14"/>
      <w:lang w:val="en-US" w:eastAsia="en-US" w:bidi="ar-SA"/>
    </w:rPr>
  </w:style>
  <w:style w:type="paragraph" w:customStyle="1" w:styleId="HD">
    <w:name w:val="HD"/>
    <w:rsid w:val="00DF6ED4"/>
    <w:pPr>
      <w:suppressAutoHyphens/>
      <w:spacing w:before="120" w:after="120"/>
      <w:jc w:val="center"/>
    </w:pPr>
    <w:rPr>
      <w:rFonts w:ascii="Helvetica LT Std" w:hAnsi="Helvetica LT Std"/>
      <w:sz w:val="26"/>
      <w:szCs w:val="18"/>
    </w:rPr>
  </w:style>
  <w:style w:type="paragraph" w:customStyle="1" w:styleId="PP">
    <w:name w:val="PP"/>
    <w:rsid w:val="0097797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977971"/>
    <w:pPr>
      <w:spacing w:before="120" w:after="120"/>
      <w:jc w:val="center"/>
    </w:pPr>
    <w:rPr>
      <w:rFonts w:ascii="Helvetica LT Std" w:hAnsi="Helvetica LT Std"/>
      <w:sz w:val="24"/>
    </w:rPr>
  </w:style>
  <w:style w:type="paragraph" w:customStyle="1" w:styleId="PN">
    <w:name w:val="PN"/>
    <w:qFormat/>
    <w:rsid w:val="00977971"/>
    <w:pPr>
      <w:spacing w:after="240"/>
      <w:ind w:left="720" w:firstLine="288"/>
      <w:jc w:val="both"/>
    </w:pPr>
    <w:rPr>
      <w:rFonts w:ascii="Perpetua Std" w:eastAsia="MS Mincho" w:hAnsi="Perpetua Std"/>
      <w:color w:val="000000"/>
    </w:rPr>
  </w:style>
  <w:style w:type="table" w:styleId="TableGrid">
    <w:name w:val="Table Grid"/>
    <w:basedOn w:val="TableNormal"/>
    <w:rsid w:val="00FD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77971"/>
    <w:rPr>
      <w:vertAlign w:val="superscript"/>
    </w:rPr>
  </w:style>
  <w:style w:type="paragraph" w:customStyle="1" w:styleId="HA">
    <w:name w:val="HA"/>
    <w:autoRedefine/>
    <w:qFormat/>
    <w:rsid w:val="003E0B9B"/>
    <w:pPr>
      <w:spacing w:after="240"/>
      <w:jc w:val="center"/>
    </w:pPr>
    <w:rPr>
      <w:rFonts w:ascii="Helvetica LT Std" w:hAnsi="Helvetica LT Std"/>
      <w:b/>
      <w:caps/>
      <w:color w:val="000000"/>
      <w:sz w:val="36"/>
      <w:szCs w:val="32"/>
    </w:rPr>
  </w:style>
  <w:style w:type="paragraph" w:customStyle="1" w:styleId="HB">
    <w:name w:val="HB"/>
    <w:qFormat/>
    <w:rsid w:val="00D73BB2"/>
    <w:pPr>
      <w:spacing w:before="120" w:after="240"/>
      <w:jc w:val="center"/>
    </w:pPr>
    <w:rPr>
      <w:rFonts w:ascii="Helvetica LT Std" w:hAnsi="Helvetica LT Std"/>
      <w:b/>
      <w:color w:val="5F5F5F"/>
      <w:w w:val="105"/>
      <w:sz w:val="32"/>
    </w:rPr>
  </w:style>
  <w:style w:type="paragraph" w:customStyle="1" w:styleId="HC">
    <w:name w:val="HC"/>
    <w:autoRedefine/>
    <w:rsid w:val="008820B3"/>
    <w:pPr>
      <w:tabs>
        <w:tab w:val="left" w:pos="284"/>
      </w:tabs>
      <w:spacing w:before="120" w:after="120"/>
      <w:jc w:val="center"/>
    </w:pPr>
    <w:rPr>
      <w:rFonts w:ascii="Helvetica LT Std" w:hAnsi="Helvetica LT Std"/>
      <w:b/>
      <w:color w:val="000000"/>
      <w:w w:val="110"/>
      <w:sz w:val="26"/>
    </w:rPr>
  </w:style>
  <w:style w:type="paragraph" w:customStyle="1" w:styleId="PR">
    <w:name w:val="PR"/>
    <w:rsid w:val="00977971"/>
    <w:pPr>
      <w:spacing w:after="240"/>
      <w:ind w:left="360" w:firstLine="288"/>
      <w:jc w:val="both"/>
    </w:pPr>
    <w:rPr>
      <w:rFonts w:ascii="Adobe Caslon Pro" w:hAnsi="Adobe Caslon Pro"/>
      <w:color w:val="000000"/>
      <w:sz w:val="14"/>
    </w:rPr>
  </w:style>
  <w:style w:type="paragraph" w:customStyle="1" w:styleId="PO">
    <w:name w:val="PO"/>
    <w:rsid w:val="00977971"/>
    <w:pPr>
      <w:spacing w:after="240"/>
      <w:jc w:val="both"/>
    </w:pPr>
    <w:rPr>
      <w:rFonts w:ascii="Perpetua Std" w:hAnsi="Perpetua Std"/>
      <w:color w:val="000000"/>
      <w:w w:val="95"/>
      <w:szCs w:val="16"/>
    </w:rPr>
  </w:style>
  <w:style w:type="paragraph" w:customStyle="1" w:styleId="GUIDEX">
    <w:name w:val="GUIDEX"/>
    <w:rsid w:val="0097797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8176D"/>
    <w:pPr>
      <w:tabs>
        <w:tab w:val="clear" w:pos="240"/>
        <w:tab w:val="clear" w:pos="720"/>
        <w:tab w:val="right" w:pos="4680"/>
      </w:tabs>
    </w:pPr>
  </w:style>
  <w:style w:type="paragraph" w:customStyle="1" w:styleId="PCB">
    <w:name w:val="PCB"/>
    <w:autoRedefine/>
    <w:qFormat/>
    <w:rsid w:val="007E799B"/>
    <w:pPr>
      <w:numPr>
        <w:numId w:val="20"/>
      </w:numPr>
      <w:tabs>
        <w:tab w:val="left" w:pos="720"/>
      </w:tabs>
      <w:spacing w:after="240"/>
      <w:ind w:left="720"/>
      <w:jc w:val="both"/>
    </w:pPr>
    <w:rPr>
      <w:rFonts w:ascii="Perpetua Std" w:hAnsi="Perpetua Std"/>
      <w:color w:val="000000"/>
      <w:sz w:val="24"/>
    </w:rPr>
  </w:style>
  <w:style w:type="paragraph" w:customStyle="1" w:styleId="PFB">
    <w:name w:val="PFB"/>
    <w:autoRedefine/>
    <w:qFormat/>
    <w:rsid w:val="007E799B"/>
    <w:pPr>
      <w:numPr>
        <w:numId w:val="21"/>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85624E"/>
    <w:rPr>
      <w:rFonts w:ascii="Perpetua Std" w:hAnsi="Perpetua Std"/>
    </w:rPr>
  </w:style>
  <w:style w:type="paragraph" w:styleId="NoSpacing">
    <w:name w:val="No Spacing"/>
    <w:uiPriority w:val="1"/>
    <w:qFormat/>
    <w:rsid w:val="0085624E"/>
    <w:rPr>
      <w:rFonts w:ascii="Perpetua" w:hAnsi="Perpetua"/>
    </w:rPr>
  </w:style>
  <w:style w:type="paragraph" w:customStyle="1" w:styleId="PCA">
    <w:name w:val="PCA"/>
    <w:qFormat/>
    <w:rsid w:val="00702ECE"/>
    <w:pPr>
      <w:numPr>
        <w:numId w:val="32"/>
      </w:numPr>
      <w:tabs>
        <w:tab w:val="left" w:pos="720"/>
      </w:tabs>
      <w:spacing w:after="240"/>
      <w:jc w:val="both"/>
    </w:pPr>
    <w:rPr>
      <w:rFonts w:ascii="Perpetua Std" w:hAnsi="Perpetua Std"/>
      <w:sz w:val="24"/>
    </w:rPr>
  </w:style>
  <w:style w:type="paragraph" w:customStyle="1" w:styleId="PHB">
    <w:name w:val="PHB"/>
    <w:rsid w:val="008145A4"/>
    <w:pPr>
      <w:numPr>
        <w:numId w:val="29"/>
      </w:numPr>
      <w:tabs>
        <w:tab w:val="left" w:pos="360"/>
      </w:tabs>
      <w:spacing w:after="240"/>
      <w:jc w:val="both"/>
    </w:pPr>
    <w:rPr>
      <w:rFonts w:ascii="Perpetua Std" w:hAnsi="Perpetua Std"/>
      <w:sz w:val="24"/>
    </w:rPr>
  </w:style>
  <w:style w:type="character" w:customStyle="1" w:styleId="IndexChar">
    <w:name w:val="Index Char"/>
    <w:link w:val="Index"/>
    <w:rsid w:val="00B1281E"/>
    <w:rPr>
      <w:rFonts w:ascii="Perpetua Std" w:eastAsia="MS Mincho" w:hAnsi="Perpetua Std"/>
      <w:color w:val="000000"/>
    </w:rPr>
  </w:style>
  <w:style w:type="paragraph" w:styleId="FootnoteText">
    <w:name w:val="footnote text"/>
    <w:basedOn w:val="Normal"/>
    <w:link w:val="FootnoteTextChar"/>
    <w:uiPriority w:val="99"/>
    <w:unhideWhenUsed/>
    <w:rsid w:val="00F31E3D"/>
    <w:pPr>
      <w:spacing w:after="200"/>
    </w:pPr>
    <w:rPr>
      <w:rFonts w:ascii="Calibri" w:eastAsia="Calibri" w:hAnsi="Calibri"/>
    </w:rPr>
  </w:style>
  <w:style w:type="character" w:customStyle="1" w:styleId="FootnoteTextChar">
    <w:name w:val="Footnote Text Char"/>
    <w:link w:val="FootnoteText"/>
    <w:uiPriority w:val="99"/>
    <w:rsid w:val="00F31E3D"/>
    <w:rPr>
      <w:rFonts w:ascii="Calibri" w:eastAsia="Calibri" w:hAnsi="Calibri"/>
    </w:rPr>
  </w:style>
  <w:style w:type="paragraph" w:customStyle="1" w:styleId="table4colhead">
    <w:name w:val="table 4 col head"/>
    <w:basedOn w:val="Normal"/>
    <w:next w:val="Normal"/>
    <w:rsid w:val="00F03143"/>
    <w:pPr>
      <w:widowControl w:val="0"/>
      <w:tabs>
        <w:tab w:val="left" w:pos="1500"/>
        <w:tab w:val="left" w:pos="2640"/>
        <w:tab w:val="left" w:pos="3960"/>
        <w:tab w:val="left" w:pos="5580"/>
      </w:tabs>
      <w:autoSpaceDE w:val="0"/>
      <w:autoSpaceDN w:val="0"/>
      <w:spacing w:before="480" w:after="120" w:line="260" w:lineRule="atLeast"/>
    </w:pPr>
    <w:rPr>
      <w:rFonts w:ascii="Times" w:hAnsi="Times" w:cs="Times"/>
      <w:i/>
      <w:iCs/>
    </w:rPr>
  </w:style>
  <w:style w:type="paragraph" w:customStyle="1" w:styleId="Extract1">
    <w:name w:val="Extract 1"/>
    <w:basedOn w:val="Normal"/>
    <w:rsid w:val="00F03143"/>
    <w:pPr>
      <w:widowControl w:val="0"/>
      <w:autoSpaceDE w:val="0"/>
      <w:autoSpaceDN w:val="0"/>
      <w:spacing w:before="240" w:after="200" w:line="280" w:lineRule="atLeast"/>
      <w:ind w:left="360"/>
      <w:jc w:val="both"/>
    </w:pPr>
    <w:rPr>
      <w:rFonts w:ascii="Times" w:eastAsia="Calibri" w:hAnsi="Times" w:cs="Times"/>
      <w:sz w:val="24"/>
      <w:szCs w:val="24"/>
    </w:rPr>
  </w:style>
  <w:style w:type="character" w:customStyle="1" w:styleId="st">
    <w:name w:val="st"/>
    <w:rsid w:val="00F03143"/>
  </w:style>
  <w:style w:type="paragraph" w:customStyle="1" w:styleId="PIWS">
    <w:name w:val="PIWS"/>
    <w:basedOn w:val="Normal"/>
    <w:rsid w:val="00F03143"/>
    <w:pPr>
      <w:widowControl w:val="0"/>
      <w:autoSpaceDE w:val="0"/>
      <w:autoSpaceDN w:val="0"/>
      <w:spacing w:before="240" w:after="200" w:line="280" w:lineRule="atLeast"/>
      <w:ind w:firstLine="240"/>
      <w:jc w:val="both"/>
    </w:pPr>
    <w:rPr>
      <w:rFonts w:ascii="Times" w:hAnsi="Times" w:cs="Times"/>
      <w:sz w:val="24"/>
      <w:szCs w:val="24"/>
    </w:rPr>
  </w:style>
  <w:style w:type="paragraph" w:styleId="BalloonText">
    <w:name w:val="Balloon Text"/>
    <w:basedOn w:val="Normal"/>
    <w:link w:val="BalloonTextChar"/>
    <w:rsid w:val="00901C81"/>
    <w:rPr>
      <w:rFonts w:ascii="Tahoma" w:hAnsi="Tahoma" w:cs="Tahoma"/>
      <w:sz w:val="16"/>
      <w:szCs w:val="16"/>
    </w:rPr>
  </w:style>
  <w:style w:type="character" w:customStyle="1" w:styleId="BalloonTextChar">
    <w:name w:val="Balloon Text Char"/>
    <w:basedOn w:val="DefaultParagraphFont"/>
    <w:link w:val="BalloonText"/>
    <w:rsid w:val="00901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8CD3-79BF-43A7-9DEC-59C84147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11</Pages>
  <Words>4230</Words>
  <Characters>21619</Characters>
  <Application>Microsoft Office Word</Application>
  <DocSecurity>4</DocSecurity>
  <Lines>180</Lines>
  <Paragraphs>51</Paragraphs>
  <ScaleCrop>false</ScaleCrop>
  <HeadingPairs>
    <vt:vector size="2" baseType="variant">
      <vt:variant>
        <vt:lpstr>Title</vt:lpstr>
      </vt:variant>
      <vt:variant>
        <vt:i4>1</vt:i4>
      </vt:variant>
    </vt:vector>
  </HeadingPairs>
  <TitlesOfParts>
    <vt:vector size="1" baseType="lpstr">
      <vt:lpstr>1</vt:lpstr>
    </vt:vector>
  </TitlesOfParts>
  <Company>National Underwriter</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poleary</dc:creator>
  <cp:lastModifiedBy>rcline</cp:lastModifiedBy>
  <cp:revision>2</cp:revision>
  <dcterms:created xsi:type="dcterms:W3CDTF">2015-07-15T19:39:00Z</dcterms:created>
  <dcterms:modified xsi:type="dcterms:W3CDTF">2015-07-15T19:39:00Z</dcterms:modified>
</cp:coreProperties>
</file>