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8046E" w14:textId="32393C9A" w:rsidR="00DC06A5" w:rsidRPr="00FD49D3" w:rsidRDefault="00506848" w:rsidP="00FD49D3">
      <w:pPr>
        <w:jc w:val="center"/>
        <w:rPr>
          <w:b/>
          <w:u w:val="single"/>
        </w:rPr>
      </w:pPr>
      <w:r>
        <w:rPr>
          <w:b/>
          <w:u w:val="single"/>
        </w:rPr>
        <w:t>REITs Expansion</w:t>
      </w:r>
    </w:p>
    <w:p w14:paraId="461EE393" w14:textId="77777777" w:rsidR="00266C98" w:rsidRDefault="00266C98" w:rsidP="00DC06A5"/>
    <w:p w14:paraId="5FFBF16F" w14:textId="3A99F6F7" w:rsidR="00F23884" w:rsidRDefault="00B7743D" w:rsidP="00B7743D">
      <w:pPr>
        <w:ind w:left="720"/>
        <w:rPr>
          <w:b/>
        </w:rPr>
      </w:pPr>
      <w:proofErr w:type="gramStart"/>
      <w:r>
        <w:rPr>
          <w:b/>
        </w:rPr>
        <w:t xml:space="preserve">7891.01  </w:t>
      </w:r>
      <w:r w:rsidR="00F23884">
        <w:rPr>
          <w:b/>
        </w:rPr>
        <w:t>What</w:t>
      </w:r>
      <w:proofErr w:type="gramEnd"/>
      <w:r w:rsidR="00F23884">
        <w:rPr>
          <w:b/>
        </w:rPr>
        <w:t xml:space="preserve"> is </w:t>
      </w:r>
      <w:r w:rsidR="00111230">
        <w:rPr>
          <w:b/>
        </w:rPr>
        <w:t xml:space="preserve"> the definition of “land” for</w:t>
      </w:r>
      <w:r w:rsidR="00F23884">
        <w:rPr>
          <w:b/>
        </w:rPr>
        <w:t xml:space="preserve"> determining whether an asset qualifies as a real estate asset for purposes of the REIT asset tests?</w:t>
      </w:r>
    </w:p>
    <w:p w14:paraId="2E82EEBE" w14:textId="77777777" w:rsidR="0094408D" w:rsidRDefault="0094408D" w:rsidP="0094408D">
      <w:pPr>
        <w:rPr>
          <w:b/>
        </w:rPr>
      </w:pPr>
    </w:p>
    <w:p w14:paraId="700DB41B" w14:textId="1F0A3FDD" w:rsidR="0094408D" w:rsidRDefault="0094408D" w:rsidP="0094408D">
      <w:pPr>
        <w:ind w:firstLine="360"/>
      </w:pPr>
      <w:r>
        <w:t xml:space="preserve">In order to qualify as a REIT, at least 75 percent of the REIT’s assets must consist of certain defined </w:t>
      </w:r>
      <w:proofErr w:type="gramStart"/>
      <w:r>
        <w:t>assets,</w:t>
      </w:r>
      <w:proofErr w:type="gramEnd"/>
      <w:r>
        <w:t xml:space="preserve"> including real estate assets</w:t>
      </w:r>
      <w:r w:rsidR="00826380">
        <w:t xml:space="preserve"> (see Q</w:t>
      </w:r>
      <w:r w:rsidR="00C56FA7">
        <w:t xml:space="preserve"> </w:t>
      </w:r>
      <w:r w:rsidR="00826380">
        <w:t>7891)</w:t>
      </w:r>
      <w:r>
        <w:t>.  “Land” is a type of real property asset that qualifies as a real estate asset for this purpose.</w:t>
      </w:r>
      <w:r>
        <w:rPr>
          <w:rStyle w:val="FootnoteReference"/>
        </w:rPr>
        <w:footnoteReference w:id="1"/>
      </w:r>
      <w:r>
        <w:t xml:space="preserve">  The IRS has recently clarified what types of property constitute “land” in the context of REITs.</w:t>
      </w:r>
    </w:p>
    <w:p w14:paraId="6AF1EC51" w14:textId="77777777" w:rsidR="0094408D" w:rsidRDefault="0094408D" w:rsidP="0094408D">
      <w:pPr>
        <w:ind w:firstLine="360"/>
      </w:pPr>
    </w:p>
    <w:p w14:paraId="50D00CE6" w14:textId="4B2D5A3F" w:rsidR="0094408D" w:rsidRDefault="0094408D" w:rsidP="0094408D">
      <w:pPr>
        <w:ind w:firstLine="360"/>
      </w:pPr>
      <w:r>
        <w:t>Land includes any water or air space that is adjacent to the physical land itself</w:t>
      </w:r>
      <w:r w:rsidR="002E244C">
        <w:t>, and also includes any natural products (such as crops growing on the land) and deposits that remain physically attached to the land.  However, once a product is severed from the land (such as when crops are harvested or minerals are extracted) it no longer qualifies as land and is no longer treated as a real estate asset.</w:t>
      </w:r>
      <w:r w:rsidR="002E244C">
        <w:rPr>
          <w:rStyle w:val="FootnoteReference"/>
        </w:rPr>
        <w:footnoteReference w:id="2"/>
      </w:r>
    </w:p>
    <w:p w14:paraId="6D3B2375" w14:textId="77777777" w:rsidR="002E244C" w:rsidRDefault="002E244C" w:rsidP="0094408D">
      <w:pPr>
        <w:ind w:firstLine="360"/>
      </w:pPr>
    </w:p>
    <w:p w14:paraId="10CC20EA" w14:textId="1027AA4D" w:rsidR="002E244C" w:rsidRPr="0094408D" w:rsidRDefault="002E244C" w:rsidP="0094408D">
      <w:pPr>
        <w:ind w:firstLine="360"/>
      </w:pPr>
      <w:r>
        <w:t xml:space="preserve">The new IRS proposed regulations clarify that if crops, minerals or other products that were previously physically attached to the land are stored upon the land after they are severed, such storage does not serve to </w:t>
      </w:r>
      <w:proofErr w:type="spellStart"/>
      <w:r>
        <w:t>recharacterize</w:t>
      </w:r>
      <w:proofErr w:type="spellEnd"/>
      <w:r>
        <w:t xml:space="preserve"> the stored property as “land” for REIT asset testing purposes.</w:t>
      </w:r>
    </w:p>
    <w:p w14:paraId="403C5304" w14:textId="77777777" w:rsidR="00F23884" w:rsidRDefault="00F23884" w:rsidP="00F23884">
      <w:pPr>
        <w:ind w:left="720"/>
        <w:rPr>
          <w:b/>
        </w:rPr>
      </w:pPr>
    </w:p>
    <w:p w14:paraId="097D71B1" w14:textId="1B5D1867" w:rsidR="00DC06A5" w:rsidRPr="00B7743D" w:rsidRDefault="00F23884" w:rsidP="00B7743D">
      <w:pPr>
        <w:pStyle w:val="ListParagraph"/>
        <w:numPr>
          <w:ilvl w:val="1"/>
          <w:numId w:val="6"/>
        </w:numPr>
        <w:rPr>
          <w:b/>
        </w:rPr>
      </w:pPr>
      <w:r w:rsidRPr="00B7743D">
        <w:rPr>
          <w:b/>
        </w:rPr>
        <w:t>When is an asset considered to be an</w:t>
      </w:r>
      <w:r w:rsidR="00111230" w:rsidRPr="00B7743D">
        <w:rPr>
          <w:b/>
        </w:rPr>
        <w:t xml:space="preserve"> “inherently</w:t>
      </w:r>
      <w:r w:rsidRPr="00B7743D">
        <w:rPr>
          <w:b/>
        </w:rPr>
        <w:t xml:space="preserve"> permanent structure</w:t>
      </w:r>
      <w:r w:rsidR="00111230" w:rsidRPr="00B7743D">
        <w:rPr>
          <w:b/>
        </w:rPr>
        <w:t>”</w:t>
      </w:r>
      <w:r w:rsidRPr="00B7743D">
        <w:rPr>
          <w:b/>
        </w:rPr>
        <w:t xml:space="preserve"> so that it qualifies as a real estate asset?  Are there any safe harbor provision</w:t>
      </w:r>
      <w:r w:rsidR="00111230" w:rsidRPr="00B7743D">
        <w:rPr>
          <w:b/>
        </w:rPr>
        <w:t>s</w:t>
      </w:r>
      <w:r w:rsidRPr="00B7743D">
        <w:rPr>
          <w:b/>
        </w:rPr>
        <w:t>?</w:t>
      </w:r>
    </w:p>
    <w:p w14:paraId="3FFBE81D" w14:textId="77777777" w:rsidR="00BC57E2" w:rsidRDefault="00BC57E2" w:rsidP="00BC57E2">
      <w:pPr>
        <w:rPr>
          <w:b/>
        </w:rPr>
      </w:pPr>
    </w:p>
    <w:p w14:paraId="3E04816B" w14:textId="396EC27C" w:rsidR="00BC57E2" w:rsidRPr="004D02DB" w:rsidRDefault="007E24C5" w:rsidP="00BC57E2">
      <w:pPr>
        <w:ind w:firstLine="360"/>
      </w:pPr>
      <w:r>
        <w:t xml:space="preserve">Buildings and other “inherently permanent structures” qualify as real estate assets for purposes of the REIT asset tests (see Q7893).  </w:t>
      </w:r>
      <w:r w:rsidR="00BC57E2">
        <w:t xml:space="preserve">Generally, an inherently permanent structure is a building or other structure that is reasonably expected to last indefinitely based on all of the </w:t>
      </w:r>
      <w:r w:rsidR="00826380">
        <w:t xml:space="preserve">surrounding </w:t>
      </w:r>
      <w:r w:rsidR="00BC57E2">
        <w:t xml:space="preserve">facts and circumstances.  However, the new proposed regulations provide that if the asset serves an active function (such as a piece of machinery or equipment) it is </w:t>
      </w:r>
      <w:r w:rsidR="00BC57E2">
        <w:rPr>
          <w:i/>
        </w:rPr>
        <w:t>not</w:t>
      </w:r>
      <w:r w:rsidR="00BC57E2">
        <w:t xml:space="preserve"> a building or other inherently permanent structure.</w:t>
      </w:r>
      <w:r w:rsidR="00BC57E2">
        <w:rPr>
          <w:rStyle w:val="FootnoteReference"/>
        </w:rPr>
        <w:footnoteReference w:id="3"/>
      </w:r>
      <w:r w:rsidR="004D02DB">
        <w:t xml:space="preserve">  Inherently permanent structures are those that serve a </w:t>
      </w:r>
      <w:r w:rsidR="004D02DB">
        <w:rPr>
          <w:i/>
        </w:rPr>
        <w:t>passive</w:t>
      </w:r>
      <w:r w:rsidR="004D02DB">
        <w:t xml:space="preserve"> function, as described in the regulations as a function that is designed to contain, support, shelter, cover, or protect—rather than an active function, such as one that is designed to manufacture, create, produce, convert or transport.</w:t>
      </w:r>
    </w:p>
    <w:p w14:paraId="5B9E9245" w14:textId="77777777" w:rsidR="00BC57E2" w:rsidRDefault="00BC57E2" w:rsidP="00BC57E2">
      <w:pPr>
        <w:ind w:firstLine="360"/>
      </w:pPr>
    </w:p>
    <w:p w14:paraId="6D5E4398" w14:textId="774379DF" w:rsidR="00BC57E2" w:rsidRDefault="00BC57E2" w:rsidP="00BC57E2">
      <w:pPr>
        <w:ind w:firstLine="360"/>
      </w:pPr>
      <w:r>
        <w:t xml:space="preserve">The regulations provide a safe harbor listing of the types of assets </w:t>
      </w:r>
      <w:r w:rsidR="004D02DB">
        <w:t>that will qualify as buildings or other inherently permanent structures without the need for a facts and circumstances analysis.  “Buildings” are defined to include houses, apartments, hotels, factory and office buildings, warehouses, barns, enclosed garages, enclosed transportation stations and terminals</w:t>
      </w:r>
      <w:r w:rsidR="00826380">
        <w:t>,</w:t>
      </w:r>
      <w:r w:rsidR="004D02DB">
        <w:t xml:space="preserve"> and stores.</w:t>
      </w:r>
      <w:r w:rsidR="004D02DB">
        <w:rPr>
          <w:rStyle w:val="FootnoteReference"/>
        </w:rPr>
        <w:footnoteReference w:id="4"/>
      </w:r>
    </w:p>
    <w:p w14:paraId="6D1E5580" w14:textId="77777777" w:rsidR="004D02DB" w:rsidRDefault="004D02DB" w:rsidP="00BC57E2">
      <w:pPr>
        <w:ind w:firstLine="360"/>
      </w:pPr>
    </w:p>
    <w:p w14:paraId="3FC2F7F3" w14:textId="4F864C63" w:rsidR="004D02DB" w:rsidRDefault="004D02DB" w:rsidP="00BC57E2">
      <w:pPr>
        <w:ind w:firstLine="360"/>
      </w:pPr>
      <w:r>
        <w:t>The safe harbor for “inherently permanent structures” includes the following specifically enumerated structures:</w:t>
      </w:r>
    </w:p>
    <w:p w14:paraId="6690F3F1" w14:textId="77777777" w:rsidR="007E24C5" w:rsidRDefault="007E24C5" w:rsidP="00BC57E2">
      <w:pPr>
        <w:ind w:firstLine="360"/>
      </w:pPr>
    </w:p>
    <w:p w14:paraId="49A8104E" w14:textId="5AF99A7F" w:rsidR="004D02DB" w:rsidRDefault="004D02DB" w:rsidP="004D02DB">
      <w:pPr>
        <w:pStyle w:val="ListParagraph"/>
        <w:numPr>
          <w:ilvl w:val="0"/>
          <w:numId w:val="3"/>
        </w:numPr>
      </w:pPr>
      <w:r>
        <w:t>microwave transmission, cell, broadcast and electrical towers,</w:t>
      </w:r>
    </w:p>
    <w:p w14:paraId="6BD41C69" w14:textId="465C5F10" w:rsidR="004D02DB" w:rsidRDefault="004D02DB" w:rsidP="004D02DB">
      <w:pPr>
        <w:pStyle w:val="ListParagraph"/>
        <w:numPr>
          <w:ilvl w:val="0"/>
          <w:numId w:val="3"/>
        </w:numPr>
      </w:pPr>
      <w:r>
        <w:t>telephone poles,</w:t>
      </w:r>
    </w:p>
    <w:p w14:paraId="72B5DFEC" w14:textId="062341CA" w:rsidR="004D02DB" w:rsidRDefault="004D02DB" w:rsidP="004D02DB">
      <w:pPr>
        <w:pStyle w:val="ListParagraph"/>
        <w:numPr>
          <w:ilvl w:val="0"/>
          <w:numId w:val="3"/>
        </w:numPr>
      </w:pPr>
      <w:r>
        <w:t>parking facilities,</w:t>
      </w:r>
    </w:p>
    <w:p w14:paraId="119F9F01" w14:textId="7827B5B8" w:rsidR="004D02DB" w:rsidRDefault="004D02DB" w:rsidP="004D02DB">
      <w:pPr>
        <w:pStyle w:val="ListParagraph"/>
        <w:numPr>
          <w:ilvl w:val="0"/>
          <w:numId w:val="3"/>
        </w:numPr>
      </w:pPr>
      <w:r>
        <w:t>bridges and tunnels,</w:t>
      </w:r>
    </w:p>
    <w:p w14:paraId="421141A2" w14:textId="186B2444" w:rsidR="004D02DB" w:rsidRDefault="004D02DB" w:rsidP="004D02DB">
      <w:pPr>
        <w:pStyle w:val="ListParagraph"/>
        <w:numPr>
          <w:ilvl w:val="0"/>
          <w:numId w:val="3"/>
        </w:numPr>
      </w:pPr>
      <w:r>
        <w:t>roadbeds,</w:t>
      </w:r>
    </w:p>
    <w:p w14:paraId="2B0FCE54" w14:textId="308BEC32" w:rsidR="004D02DB" w:rsidRDefault="004D02DB" w:rsidP="004D02DB">
      <w:pPr>
        <w:pStyle w:val="ListParagraph"/>
        <w:numPr>
          <w:ilvl w:val="0"/>
          <w:numId w:val="3"/>
        </w:numPr>
      </w:pPr>
      <w:r>
        <w:t>railroad tracks,</w:t>
      </w:r>
    </w:p>
    <w:p w14:paraId="26734E34" w14:textId="730139E8" w:rsidR="004D02DB" w:rsidRDefault="004D02DB" w:rsidP="004D02DB">
      <w:pPr>
        <w:pStyle w:val="ListParagraph"/>
        <w:numPr>
          <w:ilvl w:val="0"/>
          <w:numId w:val="3"/>
        </w:numPr>
      </w:pPr>
      <w:r>
        <w:t xml:space="preserve">transmission lines, </w:t>
      </w:r>
    </w:p>
    <w:p w14:paraId="02F102B3" w14:textId="4B7A1FDC" w:rsidR="004D02DB" w:rsidRDefault="004D02DB" w:rsidP="004D02DB">
      <w:pPr>
        <w:pStyle w:val="ListParagraph"/>
        <w:numPr>
          <w:ilvl w:val="0"/>
          <w:numId w:val="3"/>
        </w:numPr>
      </w:pPr>
      <w:r>
        <w:t>pipelines,</w:t>
      </w:r>
    </w:p>
    <w:p w14:paraId="27250C72" w14:textId="48F33F7F" w:rsidR="004D02DB" w:rsidRDefault="004D02DB" w:rsidP="004D02DB">
      <w:pPr>
        <w:pStyle w:val="ListParagraph"/>
        <w:numPr>
          <w:ilvl w:val="0"/>
          <w:numId w:val="3"/>
        </w:numPr>
      </w:pPr>
      <w:r>
        <w:t>fences,</w:t>
      </w:r>
    </w:p>
    <w:p w14:paraId="36D7D982" w14:textId="4C190561" w:rsidR="004D02DB" w:rsidRDefault="00C56FA7" w:rsidP="00C56FA7">
      <w:pPr>
        <w:ind w:left="360"/>
      </w:pPr>
      <w:r>
        <w:t>(10</w:t>
      </w:r>
      <w:proofErr w:type="gramStart"/>
      <w:r>
        <w:t>)</w:t>
      </w:r>
      <w:r w:rsidR="004D02DB">
        <w:t>in</w:t>
      </w:r>
      <w:proofErr w:type="gramEnd"/>
      <w:r w:rsidR="004D02DB">
        <w:t>-ground swimming pools,</w:t>
      </w:r>
    </w:p>
    <w:p w14:paraId="11C0190F" w14:textId="0826C628" w:rsidR="004D02DB" w:rsidRDefault="00C56FA7" w:rsidP="00C56FA7">
      <w:r>
        <w:t xml:space="preserve">       (11</w:t>
      </w:r>
      <w:proofErr w:type="gramStart"/>
      <w:r>
        <w:t>)</w:t>
      </w:r>
      <w:r w:rsidR="004D02DB">
        <w:t>offshore</w:t>
      </w:r>
      <w:proofErr w:type="gramEnd"/>
      <w:r w:rsidR="004D02DB">
        <w:t xml:space="preserve"> drilling platforms,</w:t>
      </w:r>
    </w:p>
    <w:p w14:paraId="14033C0B" w14:textId="6FD023D5" w:rsidR="004D02DB" w:rsidRDefault="00C56FA7" w:rsidP="00C56FA7">
      <w:r>
        <w:t xml:space="preserve">       (12</w:t>
      </w:r>
      <w:proofErr w:type="gramStart"/>
      <w:r>
        <w:t>)</w:t>
      </w:r>
      <w:r w:rsidR="004D02DB">
        <w:t>storage</w:t>
      </w:r>
      <w:proofErr w:type="gramEnd"/>
      <w:r w:rsidR="004D02DB">
        <w:t xml:space="preserve"> structures such as silos and oil and gas storage tanks,</w:t>
      </w:r>
    </w:p>
    <w:p w14:paraId="4D3390EB" w14:textId="5BDF13DB" w:rsidR="004D02DB" w:rsidRDefault="00C56FA7" w:rsidP="00C56FA7">
      <w:r>
        <w:t xml:space="preserve">       (13</w:t>
      </w:r>
      <w:proofErr w:type="gramStart"/>
      <w:r>
        <w:t>)</w:t>
      </w:r>
      <w:r w:rsidR="004D02DB">
        <w:t>stationary</w:t>
      </w:r>
      <w:proofErr w:type="gramEnd"/>
      <w:r w:rsidR="004D02DB">
        <w:t xml:space="preserve"> wharves and docks,</w:t>
      </w:r>
    </w:p>
    <w:p w14:paraId="3E3336E6" w14:textId="055A2A41" w:rsidR="004D02DB" w:rsidRDefault="00C56FA7" w:rsidP="00C56FA7">
      <w:r>
        <w:t xml:space="preserve">       (14</w:t>
      </w:r>
      <w:proofErr w:type="gramStart"/>
      <w:r>
        <w:t>)</w:t>
      </w:r>
      <w:r w:rsidR="004D02DB">
        <w:t>outdoor</w:t>
      </w:r>
      <w:proofErr w:type="gramEnd"/>
      <w:r w:rsidR="004D02DB">
        <w:t xml:space="preserve"> advertising displays for which an election </w:t>
      </w:r>
      <w:r w:rsidR="007E24C5">
        <w:t>has been properly made under IRC Section 1033(g)(3).</w:t>
      </w:r>
      <w:r w:rsidR="007E24C5">
        <w:rPr>
          <w:rStyle w:val="FootnoteReference"/>
        </w:rPr>
        <w:footnoteReference w:id="5"/>
      </w:r>
    </w:p>
    <w:p w14:paraId="637A934F" w14:textId="77777777" w:rsidR="004D02DB" w:rsidRDefault="004D02DB" w:rsidP="00BC57E2">
      <w:pPr>
        <w:ind w:firstLine="360"/>
      </w:pPr>
    </w:p>
    <w:p w14:paraId="70723C07" w14:textId="0151CB0A" w:rsidR="004D02DB" w:rsidRPr="00BC57E2" w:rsidRDefault="007E24C5" w:rsidP="00BC57E2">
      <w:pPr>
        <w:ind w:firstLine="360"/>
      </w:pPr>
      <w:r>
        <w:t>If a structure is not specifically enumerated within the safe harbor provision of the proposed regulations, a facts and circumstances analysis is necessary to determine whether it qualifies as a building or inherently permanent structure for purposes of meeting t</w:t>
      </w:r>
      <w:r w:rsidR="00C56FA7">
        <w:t>he REIT asset tests.  Q 7893</w:t>
      </w:r>
      <w:r>
        <w:t xml:space="preserve"> outlines the analysis that is undertaken if the asset does not qualify for the safe harbor protection.</w:t>
      </w:r>
    </w:p>
    <w:p w14:paraId="2C7F57B6" w14:textId="77777777" w:rsidR="00DC06A5" w:rsidRDefault="00DC06A5" w:rsidP="00DC06A5"/>
    <w:p w14:paraId="2C54B4BD" w14:textId="353E24DF" w:rsidR="00DC06A5" w:rsidRPr="00B7743D" w:rsidRDefault="00F23884" w:rsidP="00B7743D">
      <w:pPr>
        <w:pStyle w:val="ListParagraph"/>
        <w:numPr>
          <w:ilvl w:val="1"/>
          <w:numId w:val="6"/>
        </w:numPr>
        <w:rPr>
          <w:b/>
        </w:rPr>
      </w:pPr>
      <w:r w:rsidRPr="00B7743D">
        <w:rPr>
          <w:b/>
        </w:rPr>
        <w:t>What is a structural component?  When will a structural component qualify as a real estate asset for purposes of the REIT asset tests?</w:t>
      </w:r>
    </w:p>
    <w:p w14:paraId="7196CBD5" w14:textId="77777777" w:rsidR="007E24C5" w:rsidRDefault="007E24C5" w:rsidP="007E24C5">
      <w:pPr>
        <w:rPr>
          <w:b/>
        </w:rPr>
      </w:pPr>
    </w:p>
    <w:p w14:paraId="4047A3DA" w14:textId="77777777" w:rsidR="00C87EA9" w:rsidRDefault="0098128F" w:rsidP="0098128F">
      <w:pPr>
        <w:ind w:firstLine="360"/>
      </w:pPr>
      <w:r>
        <w:t>Structural components of inherently permanent structures also qualify as real estate assets for purposes of the REIT asset tests.</w:t>
      </w:r>
      <w:r>
        <w:rPr>
          <w:rStyle w:val="FootnoteReference"/>
        </w:rPr>
        <w:footnoteReference w:id="6"/>
      </w:r>
      <w:r w:rsidR="00C87EA9">
        <w:t xml:space="preserve">  Structural components are, generally, those assets that are integrated into an inherently permanent structure and serve the inherently permanent structure in its passive function.  The proposed regulations provide a safe harbor listing of structural components that qualify as real estate assets as follows:</w:t>
      </w:r>
    </w:p>
    <w:p w14:paraId="0E95E83B" w14:textId="77777777" w:rsidR="00631B1D" w:rsidRDefault="00631B1D" w:rsidP="0098128F">
      <w:pPr>
        <w:ind w:firstLine="360"/>
      </w:pPr>
    </w:p>
    <w:p w14:paraId="15508735" w14:textId="19AEEDA0" w:rsidR="00C87EA9" w:rsidRDefault="00826380" w:rsidP="00C87EA9">
      <w:pPr>
        <w:pStyle w:val="ListParagraph"/>
        <w:numPr>
          <w:ilvl w:val="0"/>
          <w:numId w:val="4"/>
        </w:numPr>
      </w:pPr>
      <w:r>
        <w:t>w</w:t>
      </w:r>
      <w:r w:rsidR="00C87EA9">
        <w:t>iring</w:t>
      </w:r>
      <w:r>
        <w:t>,</w:t>
      </w:r>
    </w:p>
    <w:p w14:paraId="11AC0F50" w14:textId="77777777" w:rsidR="00C87EA9" w:rsidRDefault="00C87EA9" w:rsidP="00C87EA9">
      <w:pPr>
        <w:pStyle w:val="ListParagraph"/>
        <w:numPr>
          <w:ilvl w:val="0"/>
          <w:numId w:val="4"/>
        </w:numPr>
      </w:pPr>
      <w:r>
        <w:t>plumbing systems,</w:t>
      </w:r>
    </w:p>
    <w:p w14:paraId="345BC2B4" w14:textId="77777777" w:rsidR="00C87EA9" w:rsidRDefault="00C87EA9" w:rsidP="00C87EA9">
      <w:pPr>
        <w:pStyle w:val="ListParagraph"/>
        <w:numPr>
          <w:ilvl w:val="0"/>
          <w:numId w:val="4"/>
        </w:numPr>
      </w:pPr>
      <w:r>
        <w:t>central heating and air conditioning systems,</w:t>
      </w:r>
    </w:p>
    <w:p w14:paraId="7966EAA3" w14:textId="77777777" w:rsidR="00C87EA9" w:rsidRDefault="00C87EA9" w:rsidP="00C87EA9">
      <w:pPr>
        <w:pStyle w:val="ListParagraph"/>
        <w:numPr>
          <w:ilvl w:val="0"/>
          <w:numId w:val="4"/>
        </w:numPr>
      </w:pPr>
      <w:r>
        <w:t>elevators or escalators,</w:t>
      </w:r>
    </w:p>
    <w:p w14:paraId="68E62871" w14:textId="77777777" w:rsidR="00C87EA9" w:rsidRDefault="00C87EA9" w:rsidP="00C87EA9">
      <w:pPr>
        <w:pStyle w:val="ListParagraph"/>
        <w:numPr>
          <w:ilvl w:val="0"/>
          <w:numId w:val="4"/>
        </w:numPr>
      </w:pPr>
      <w:r>
        <w:t>walls, floors and ceilings,</w:t>
      </w:r>
    </w:p>
    <w:p w14:paraId="429BB2E8" w14:textId="77777777" w:rsidR="00C87EA9" w:rsidRDefault="00C87EA9" w:rsidP="00C87EA9">
      <w:pPr>
        <w:pStyle w:val="ListParagraph"/>
        <w:numPr>
          <w:ilvl w:val="0"/>
          <w:numId w:val="4"/>
        </w:numPr>
      </w:pPr>
      <w:r>
        <w:t>permanent coverings of walls, floors and ceilings,</w:t>
      </w:r>
    </w:p>
    <w:p w14:paraId="19E4FA27" w14:textId="77777777" w:rsidR="00C87EA9" w:rsidRDefault="00C87EA9" w:rsidP="00C87EA9">
      <w:pPr>
        <w:pStyle w:val="ListParagraph"/>
        <w:numPr>
          <w:ilvl w:val="0"/>
          <w:numId w:val="4"/>
        </w:numPr>
      </w:pPr>
      <w:r>
        <w:lastRenderedPageBreak/>
        <w:t>windows and doors,</w:t>
      </w:r>
    </w:p>
    <w:p w14:paraId="18F273B6" w14:textId="77777777" w:rsidR="00C87EA9" w:rsidRDefault="00C87EA9" w:rsidP="00C87EA9">
      <w:pPr>
        <w:pStyle w:val="ListParagraph"/>
        <w:numPr>
          <w:ilvl w:val="0"/>
          <w:numId w:val="4"/>
        </w:numPr>
      </w:pPr>
      <w:r>
        <w:t>insulation,</w:t>
      </w:r>
    </w:p>
    <w:p w14:paraId="4B3E379C" w14:textId="77777777" w:rsidR="00C87EA9" w:rsidRDefault="00C87EA9" w:rsidP="00C87EA9">
      <w:pPr>
        <w:pStyle w:val="ListParagraph"/>
        <w:numPr>
          <w:ilvl w:val="0"/>
          <w:numId w:val="4"/>
        </w:numPr>
      </w:pPr>
      <w:r>
        <w:t>chimneys,</w:t>
      </w:r>
    </w:p>
    <w:p w14:paraId="054C2BCC" w14:textId="77777777" w:rsidR="00C87EA9" w:rsidRDefault="00C87EA9" w:rsidP="00C87EA9">
      <w:pPr>
        <w:pStyle w:val="ListParagraph"/>
        <w:numPr>
          <w:ilvl w:val="0"/>
          <w:numId w:val="4"/>
        </w:numPr>
      </w:pPr>
      <w:r>
        <w:t>fire suppression systems (such as sprinkler systems and fire alarms),</w:t>
      </w:r>
    </w:p>
    <w:p w14:paraId="5FEDFCEE" w14:textId="77777777" w:rsidR="00C87EA9" w:rsidRDefault="00C87EA9" w:rsidP="00C87EA9">
      <w:pPr>
        <w:pStyle w:val="ListParagraph"/>
        <w:numPr>
          <w:ilvl w:val="0"/>
          <w:numId w:val="4"/>
        </w:numPr>
      </w:pPr>
      <w:r>
        <w:t>fire escapes,</w:t>
      </w:r>
    </w:p>
    <w:p w14:paraId="39F4B79A" w14:textId="2A9AB3E6" w:rsidR="00C87EA9" w:rsidRDefault="00C87EA9" w:rsidP="00C87EA9">
      <w:pPr>
        <w:pStyle w:val="ListParagraph"/>
        <w:numPr>
          <w:ilvl w:val="0"/>
          <w:numId w:val="4"/>
        </w:numPr>
      </w:pPr>
      <w:r>
        <w:t>central refrigeration systems,</w:t>
      </w:r>
    </w:p>
    <w:p w14:paraId="7DD64488" w14:textId="77777777" w:rsidR="00C87EA9" w:rsidRDefault="00C87EA9" w:rsidP="00C87EA9">
      <w:pPr>
        <w:pStyle w:val="ListParagraph"/>
        <w:numPr>
          <w:ilvl w:val="0"/>
          <w:numId w:val="4"/>
        </w:numPr>
      </w:pPr>
      <w:r>
        <w:t>integrated security systems, and</w:t>
      </w:r>
    </w:p>
    <w:p w14:paraId="41168FD5" w14:textId="0BF44717" w:rsidR="007E24C5" w:rsidRDefault="00C87EA9" w:rsidP="00C87EA9">
      <w:pPr>
        <w:pStyle w:val="ListParagraph"/>
        <w:numPr>
          <w:ilvl w:val="0"/>
          <w:numId w:val="4"/>
        </w:numPr>
      </w:pPr>
      <w:proofErr w:type="gramStart"/>
      <w:r>
        <w:t>humidity</w:t>
      </w:r>
      <w:proofErr w:type="gramEnd"/>
      <w:r>
        <w:t xml:space="preserve"> control systems.</w:t>
      </w:r>
      <w:r>
        <w:rPr>
          <w:rStyle w:val="FootnoteReference"/>
        </w:rPr>
        <w:footnoteReference w:id="7"/>
      </w:r>
      <w:r>
        <w:t xml:space="preserve">  </w:t>
      </w:r>
    </w:p>
    <w:p w14:paraId="55F74460" w14:textId="77777777" w:rsidR="00C87EA9" w:rsidRDefault="00C87EA9" w:rsidP="00C87EA9"/>
    <w:p w14:paraId="79EE6C8C" w14:textId="7D82DE29" w:rsidR="00C87EA9" w:rsidRDefault="00826380" w:rsidP="00C87EA9">
      <w:r>
        <w:t>An asset that is</w:t>
      </w:r>
      <w:r w:rsidR="00C87EA9">
        <w:t xml:space="preserve"> not listed in the safe harbor regulation may still qualify as a structural component that is a real estate asset based on a facts and circumstances analysis that considers </w:t>
      </w:r>
      <w:r>
        <w:t xml:space="preserve">several </w:t>
      </w:r>
      <w:r w:rsidR="00C87EA9">
        <w:t xml:space="preserve">factors, </w:t>
      </w:r>
      <w:r>
        <w:t>including</w:t>
      </w:r>
      <w:r w:rsidR="00C87EA9">
        <w:t xml:space="preserve"> the following</w:t>
      </w:r>
      <w:r>
        <w:t xml:space="preserve"> specifically enumerated factors</w:t>
      </w:r>
      <w:r w:rsidR="00C87EA9">
        <w:t>:</w:t>
      </w:r>
    </w:p>
    <w:p w14:paraId="57666357" w14:textId="77777777" w:rsidR="00C87EA9" w:rsidRDefault="00C87EA9" w:rsidP="00C87EA9"/>
    <w:p w14:paraId="135C88AB" w14:textId="29AE6612" w:rsidR="00C87EA9" w:rsidRDefault="00C87EA9" w:rsidP="00C87EA9">
      <w:pPr>
        <w:pStyle w:val="ListParagraph"/>
        <w:numPr>
          <w:ilvl w:val="0"/>
          <w:numId w:val="5"/>
        </w:numPr>
      </w:pPr>
      <w:r w:rsidRPr="00C87EA9">
        <w:t>The manner, time, and expense of installing and removing the asset;</w:t>
      </w:r>
    </w:p>
    <w:p w14:paraId="51E6833E" w14:textId="65B69CE8" w:rsidR="00C87EA9" w:rsidRPr="00C87EA9" w:rsidRDefault="00C87EA9" w:rsidP="00C87EA9">
      <w:pPr>
        <w:pStyle w:val="ListParagraph"/>
        <w:numPr>
          <w:ilvl w:val="0"/>
          <w:numId w:val="5"/>
        </w:numPr>
      </w:pPr>
      <w:r>
        <w:t xml:space="preserve">Whether </w:t>
      </w:r>
      <w:r w:rsidRPr="00C87EA9">
        <w:t>the asset is designed to be moved;</w:t>
      </w:r>
    </w:p>
    <w:p w14:paraId="60836FC0" w14:textId="228E88B2" w:rsidR="00C87EA9" w:rsidRPr="00C87EA9" w:rsidRDefault="00C87EA9" w:rsidP="00C87EA9">
      <w:pPr>
        <w:pStyle w:val="ListParagraph"/>
        <w:numPr>
          <w:ilvl w:val="0"/>
          <w:numId w:val="5"/>
        </w:numPr>
      </w:pPr>
      <w:r>
        <w:t xml:space="preserve">The </w:t>
      </w:r>
      <w:r w:rsidRPr="00C87EA9">
        <w:t>damage that removal of the asset would cause to the item itself or to the inherently permanent structure</w:t>
      </w:r>
      <w:r>
        <w:t xml:space="preserve"> of which it is a part</w:t>
      </w:r>
      <w:r w:rsidRPr="00C87EA9">
        <w:t>;</w:t>
      </w:r>
    </w:p>
    <w:p w14:paraId="139C706F" w14:textId="511EEB6E" w:rsidR="00C87EA9" w:rsidRPr="00C87EA9" w:rsidRDefault="00C87EA9" w:rsidP="00C87EA9">
      <w:pPr>
        <w:pStyle w:val="ListParagraph"/>
        <w:numPr>
          <w:ilvl w:val="0"/>
          <w:numId w:val="5"/>
        </w:numPr>
      </w:pPr>
      <w:r>
        <w:t xml:space="preserve">Whether </w:t>
      </w:r>
      <w:r w:rsidRPr="00C87EA9">
        <w:t>the asset serves a utility-like function with respect to the inherently permanent structure;</w:t>
      </w:r>
    </w:p>
    <w:p w14:paraId="2797B2BB" w14:textId="2A3AC1D7" w:rsidR="00C87EA9" w:rsidRPr="00C87EA9" w:rsidRDefault="00C87EA9" w:rsidP="00C87EA9">
      <w:pPr>
        <w:pStyle w:val="ListParagraph"/>
        <w:numPr>
          <w:ilvl w:val="0"/>
          <w:numId w:val="5"/>
        </w:numPr>
      </w:pPr>
      <w:r>
        <w:t xml:space="preserve">Whether </w:t>
      </w:r>
      <w:r w:rsidRPr="00C87EA9">
        <w:t>the asset serves the inherently permanent structure in its passive function;</w:t>
      </w:r>
    </w:p>
    <w:p w14:paraId="4F0C1714" w14:textId="2B2B17A5" w:rsidR="00C87EA9" w:rsidRPr="00C87EA9" w:rsidRDefault="00C87EA9" w:rsidP="00C87EA9">
      <w:pPr>
        <w:pStyle w:val="ListParagraph"/>
        <w:numPr>
          <w:ilvl w:val="0"/>
          <w:numId w:val="5"/>
        </w:numPr>
      </w:pPr>
      <w:r>
        <w:t xml:space="preserve">Whether </w:t>
      </w:r>
      <w:r w:rsidRPr="00C87EA9">
        <w:t>the asset produces income from consideration for the use or occupancy of space in or upon the inherently permanent structure;</w:t>
      </w:r>
    </w:p>
    <w:p w14:paraId="045B39C0" w14:textId="2F36D3CF" w:rsidR="00631B1D" w:rsidRPr="00631B1D" w:rsidRDefault="00631B1D" w:rsidP="00631B1D">
      <w:pPr>
        <w:pStyle w:val="ListParagraph"/>
        <w:numPr>
          <w:ilvl w:val="0"/>
          <w:numId w:val="5"/>
        </w:numPr>
      </w:pPr>
      <w:r>
        <w:t>Whether t</w:t>
      </w:r>
      <w:r w:rsidRPr="00631B1D">
        <w:t>he asset is installed during construction of the inherently permanent structure;</w:t>
      </w:r>
    </w:p>
    <w:p w14:paraId="7FE30AB6" w14:textId="2091C255" w:rsidR="00631B1D" w:rsidRPr="00631B1D" w:rsidRDefault="00631B1D" w:rsidP="00631B1D">
      <w:pPr>
        <w:pStyle w:val="ListParagraph"/>
        <w:numPr>
          <w:ilvl w:val="0"/>
          <w:numId w:val="5"/>
        </w:numPr>
      </w:pPr>
      <w:r>
        <w:t xml:space="preserve">Whether </w:t>
      </w:r>
      <w:r w:rsidRPr="00631B1D">
        <w:t>the asset will remain if the tenant vacates the premises; and</w:t>
      </w:r>
    </w:p>
    <w:p w14:paraId="5B3524A6" w14:textId="12D8FF0A" w:rsidR="00631B1D" w:rsidRPr="00631B1D" w:rsidRDefault="00631B1D" w:rsidP="00631B1D">
      <w:pPr>
        <w:pStyle w:val="ListParagraph"/>
        <w:numPr>
          <w:ilvl w:val="0"/>
          <w:numId w:val="5"/>
        </w:numPr>
      </w:pPr>
      <w:r>
        <w:t xml:space="preserve">Whether </w:t>
      </w:r>
      <w:r w:rsidRPr="00631B1D">
        <w:t>the owner of the real property is also the legal owner of the asset.</w:t>
      </w:r>
      <w:r>
        <w:rPr>
          <w:rStyle w:val="FootnoteReference"/>
        </w:rPr>
        <w:footnoteReference w:id="8"/>
      </w:r>
    </w:p>
    <w:p w14:paraId="536B8C8D" w14:textId="77777777" w:rsidR="00F23884" w:rsidRDefault="00F23884" w:rsidP="00F23884">
      <w:pPr>
        <w:rPr>
          <w:b/>
        </w:rPr>
      </w:pPr>
    </w:p>
    <w:p w14:paraId="05DBA28A" w14:textId="77777777" w:rsidR="00C87EA9" w:rsidRDefault="00C87EA9" w:rsidP="00F23884">
      <w:pPr>
        <w:rPr>
          <w:b/>
        </w:rPr>
      </w:pPr>
    </w:p>
    <w:p w14:paraId="4FCD7DEE" w14:textId="233C20B9" w:rsidR="00F23884" w:rsidRPr="00B7743D" w:rsidRDefault="00116319" w:rsidP="00B7743D">
      <w:pPr>
        <w:pStyle w:val="ListParagraph"/>
        <w:numPr>
          <w:ilvl w:val="1"/>
          <w:numId w:val="7"/>
        </w:numPr>
        <w:rPr>
          <w:b/>
        </w:rPr>
      </w:pPr>
      <w:r w:rsidRPr="00B7743D">
        <w:rPr>
          <w:b/>
        </w:rPr>
        <w:t>Does the Foreign I</w:t>
      </w:r>
      <w:r w:rsidR="00D94CE5" w:rsidRPr="00B7743D">
        <w:rPr>
          <w:b/>
        </w:rPr>
        <w:t>nvestmen</w:t>
      </w:r>
      <w:r w:rsidRPr="00B7743D">
        <w:rPr>
          <w:b/>
        </w:rPr>
        <w:t>t in Real Property Tax A</w:t>
      </w:r>
      <w:r w:rsidR="00D94CE5" w:rsidRPr="00B7743D">
        <w:rPr>
          <w:b/>
        </w:rPr>
        <w:t>ct (FIRPTA) impose any special rules upon foreign individuals who invest in U.S. REITs?</w:t>
      </w:r>
    </w:p>
    <w:p w14:paraId="4C53B688" w14:textId="77777777" w:rsidR="00116319" w:rsidRDefault="00116319" w:rsidP="00116319">
      <w:pPr>
        <w:rPr>
          <w:b/>
        </w:rPr>
      </w:pPr>
    </w:p>
    <w:p w14:paraId="353BA5C8" w14:textId="0379AA64" w:rsidR="00116319" w:rsidRDefault="00116319" w:rsidP="00116319">
      <w:pPr>
        <w:ind w:firstLine="360"/>
      </w:pPr>
      <w:r>
        <w:t>Yes.  In general, the Foreign Investment in Real Property Tax Act (FIRPTA)</w:t>
      </w:r>
      <w:r w:rsidR="00BC4BF8">
        <w:t xml:space="preserve"> imposes a 10 percent tax upon gains or losses stemming from the</w:t>
      </w:r>
      <w:r>
        <w:t xml:space="preserve"> disposition of a foreign investor’s holdings in </w:t>
      </w:r>
      <w:r w:rsidR="007F798D">
        <w:t>any United States real property interest</w:t>
      </w:r>
      <w:r>
        <w:t>.</w:t>
      </w:r>
      <w:r>
        <w:rPr>
          <w:rStyle w:val="FootnoteReference"/>
        </w:rPr>
        <w:footnoteReference w:id="9"/>
      </w:r>
      <w:r>
        <w:t xml:space="preserve">  However, special rules apply in the case of REIT distributions </w:t>
      </w:r>
      <w:r w:rsidR="007F798D">
        <w:t xml:space="preserve">of </w:t>
      </w:r>
      <w:r w:rsidR="00B4546C">
        <w:t>“</w:t>
      </w:r>
      <w:r w:rsidR="007F798D">
        <w:t>United States real property interests</w:t>
      </w:r>
      <w:r w:rsidR="00B4546C">
        <w:t>”</w:t>
      </w:r>
      <w:r w:rsidR="007F798D">
        <w:t xml:space="preserve"> </w:t>
      </w:r>
      <w:r w:rsidR="00BC4BF8">
        <w:t>involving</w:t>
      </w:r>
      <w:r>
        <w:t xml:space="preserve"> foreign individuals</w:t>
      </w:r>
      <w:r w:rsidR="00BC4BF8">
        <w:t xml:space="preserve"> or corporations</w:t>
      </w:r>
      <w:r>
        <w:t xml:space="preserve">.  If </w:t>
      </w:r>
      <w:r w:rsidR="00165F09">
        <w:t xml:space="preserve">such </w:t>
      </w:r>
      <w:r>
        <w:t>a REIT distribution to a nonresident alien or foreign corporation is treated as a gain from the sale or exchange of U.S. real property, the REIT must deduct and withhold a 35 percent tax on the amount distributed.</w:t>
      </w:r>
      <w:r>
        <w:rPr>
          <w:rStyle w:val="FootnoteReference"/>
        </w:rPr>
        <w:footnoteReference w:id="10"/>
      </w:r>
    </w:p>
    <w:p w14:paraId="3C5C0294" w14:textId="77777777" w:rsidR="00400B22" w:rsidRDefault="00400B22" w:rsidP="00116319">
      <w:pPr>
        <w:ind w:firstLine="360"/>
      </w:pPr>
    </w:p>
    <w:p w14:paraId="30DBC893" w14:textId="25E82D35" w:rsidR="00400B22" w:rsidRDefault="00400B22" w:rsidP="00116319">
      <w:pPr>
        <w:ind w:firstLine="360"/>
      </w:pPr>
      <w:r>
        <w:t>The amount subject to this 35 percent tax is the foreign individual’s proportionate share of the amount of any distribution that is designated by the REIT to be a capital gain distribution.</w:t>
      </w:r>
      <w:r>
        <w:rPr>
          <w:rStyle w:val="FootnoteReference"/>
        </w:rPr>
        <w:footnoteReference w:id="11"/>
      </w:r>
    </w:p>
    <w:p w14:paraId="2D8BE409" w14:textId="77777777" w:rsidR="00B4546C" w:rsidRDefault="00B4546C" w:rsidP="00116319">
      <w:pPr>
        <w:ind w:firstLine="360"/>
      </w:pPr>
    </w:p>
    <w:p w14:paraId="6AB8090E" w14:textId="01B56F99" w:rsidR="00B4546C" w:rsidRPr="00116319" w:rsidRDefault="00B4546C" w:rsidP="00116319">
      <w:pPr>
        <w:ind w:firstLine="360"/>
      </w:pPr>
      <w:r>
        <w:t xml:space="preserve">See </w:t>
      </w:r>
      <w:proofErr w:type="gramStart"/>
      <w:r>
        <w:t>Q[</w:t>
      </w:r>
      <w:proofErr w:type="gramEnd"/>
      <w:r w:rsidR="00BC4BF8">
        <w:t>5</w:t>
      </w:r>
      <w:r>
        <w:t>] for a discussion of the exceptions to the general treatment of foreign investments in REITs that can allow foreign individuals and corporations to avoid the 35 percent FIRPTA tax.</w:t>
      </w:r>
    </w:p>
    <w:p w14:paraId="4B40B357" w14:textId="77777777" w:rsidR="00116319" w:rsidRDefault="00116319" w:rsidP="00116319">
      <w:pPr>
        <w:rPr>
          <w:b/>
        </w:rPr>
      </w:pPr>
    </w:p>
    <w:p w14:paraId="06782C1B" w14:textId="0A0DC1AE" w:rsidR="00116319" w:rsidRPr="00B7743D" w:rsidRDefault="00165F09" w:rsidP="00B7743D">
      <w:pPr>
        <w:pStyle w:val="ListParagraph"/>
        <w:numPr>
          <w:ilvl w:val="1"/>
          <w:numId w:val="7"/>
        </w:numPr>
        <w:rPr>
          <w:b/>
        </w:rPr>
      </w:pPr>
      <w:bookmarkStart w:id="0" w:name="_GoBack"/>
      <w:bookmarkEnd w:id="0"/>
      <w:r w:rsidRPr="00B7743D">
        <w:rPr>
          <w:b/>
        </w:rPr>
        <w:t xml:space="preserve">Are there any exceptions to the 35 percent tax that is imposed upon </w:t>
      </w:r>
      <w:r w:rsidR="00BC4BF8" w:rsidRPr="00B7743D">
        <w:rPr>
          <w:b/>
        </w:rPr>
        <w:t xml:space="preserve">certain </w:t>
      </w:r>
      <w:r w:rsidRPr="00B7743D">
        <w:rPr>
          <w:b/>
        </w:rPr>
        <w:t>REIT distributions to foreign individuals under FIRPTA?</w:t>
      </w:r>
    </w:p>
    <w:p w14:paraId="1F7AD8B8" w14:textId="77777777" w:rsidR="00165F09" w:rsidRDefault="00165F09" w:rsidP="00165F09">
      <w:pPr>
        <w:rPr>
          <w:b/>
        </w:rPr>
      </w:pPr>
    </w:p>
    <w:p w14:paraId="46D8C058" w14:textId="08083C06" w:rsidR="00165F09" w:rsidRDefault="00165F09" w:rsidP="00165F09">
      <w:pPr>
        <w:ind w:firstLine="360"/>
      </w:pPr>
      <w:r>
        <w:t xml:space="preserve">Yes.  While the Foreign Investment in Real Property Tax Act (FIRPTA) imposes a 35 percent tax upon </w:t>
      </w:r>
      <w:r w:rsidR="00BC4BF8">
        <w:t xml:space="preserve">certain </w:t>
      </w:r>
      <w:r>
        <w:t>REIT distributions to foreign individuals</w:t>
      </w:r>
      <w:r w:rsidR="00BC4BF8">
        <w:t xml:space="preserve"> and corporations (see </w:t>
      </w:r>
      <w:proofErr w:type="gramStart"/>
      <w:r w:rsidR="00BC4BF8">
        <w:t>Q[</w:t>
      </w:r>
      <w:proofErr w:type="gramEnd"/>
      <w:r w:rsidR="00BC4BF8">
        <w:t>4])</w:t>
      </w:r>
      <w:r>
        <w:t xml:space="preserve">, this withholding requirement applies only to </w:t>
      </w:r>
      <w:r w:rsidR="00BC4BF8">
        <w:t>gains and losses resulting from a sale</w:t>
      </w:r>
      <w:r>
        <w:t xml:space="preserve"> or exchange of a United States real property interest.  Several exclusions apply to this general rule.</w:t>
      </w:r>
    </w:p>
    <w:p w14:paraId="611C1216" w14:textId="77777777" w:rsidR="00165F09" w:rsidRDefault="00165F09" w:rsidP="00165F09">
      <w:pPr>
        <w:ind w:firstLine="360"/>
      </w:pPr>
    </w:p>
    <w:p w14:paraId="0CEEBC6C" w14:textId="4AE24C42" w:rsidR="00165F09" w:rsidRDefault="00165F09" w:rsidP="00165F09">
      <w:pPr>
        <w:ind w:firstLine="360"/>
      </w:pPr>
      <w:r>
        <w:t xml:space="preserve">First, a foreign investor may avoid the 35 percent FIRPTA tax if he or </w:t>
      </w:r>
      <w:r w:rsidR="00B4546C">
        <w:t>she invests in certain publicly-</w:t>
      </w:r>
      <w:r>
        <w:t>traded REITs.  If the shares of the REIT are regularly traded in a U.S. securities market, a distribution to a foreign individual will not be treated as gain recognized from the sale or exchange of a United States real property interest if the foreign individual (or foreign corporation) does not own more than 5 percent of the REIT shares at any time during the one-year period ending on the date of the distribution.</w:t>
      </w:r>
      <w:r>
        <w:rPr>
          <w:rStyle w:val="FootnoteReference"/>
        </w:rPr>
        <w:footnoteReference w:id="12"/>
      </w:r>
    </w:p>
    <w:p w14:paraId="254F1349" w14:textId="77777777" w:rsidR="00B4546C" w:rsidRDefault="00B4546C" w:rsidP="00165F09">
      <w:pPr>
        <w:ind w:firstLine="360"/>
      </w:pPr>
    </w:p>
    <w:p w14:paraId="65A3ADE9" w14:textId="410520FB" w:rsidR="00B4546C" w:rsidRDefault="00B4546C" w:rsidP="00165F09">
      <w:pPr>
        <w:ind w:firstLine="360"/>
      </w:pPr>
      <w:r>
        <w:t>Further, if the REIT qualifies as a domestically controlled qualified investment entity, distributions to foreign individuals or corporations will not be subject to the 35 percent tax because the IRC defines the term “United States real property interest” to exclude interests in a domestically controlled qualified investment entity.</w:t>
      </w:r>
      <w:r>
        <w:rPr>
          <w:rStyle w:val="FootnoteReference"/>
        </w:rPr>
        <w:footnoteReference w:id="13"/>
      </w:r>
      <w:r>
        <w:t xml:space="preserve">  A domestically controlled qualified investment entity includes a REIT (whether publicly or non-publicly held) in which foreign individuals and corporations own less than 50 percent of the value at all times during the shortest of the following periods:</w:t>
      </w:r>
    </w:p>
    <w:p w14:paraId="076ECEED" w14:textId="77777777" w:rsidR="00B4546C" w:rsidRDefault="00B4546C" w:rsidP="00165F09">
      <w:pPr>
        <w:ind w:firstLine="360"/>
      </w:pPr>
    </w:p>
    <w:p w14:paraId="7CCF1093" w14:textId="669463A1" w:rsidR="00B4546C" w:rsidRDefault="00B4546C" w:rsidP="00B4546C">
      <w:pPr>
        <w:pStyle w:val="ListParagraph"/>
        <w:numPr>
          <w:ilvl w:val="0"/>
          <w:numId w:val="2"/>
        </w:numPr>
      </w:pPr>
      <w:r>
        <w:t>The period beginning June 19, 1980 and ending on the date of the distribution;</w:t>
      </w:r>
    </w:p>
    <w:p w14:paraId="36846D48" w14:textId="75EEE4F8" w:rsidR="00B4546C" w:rsidRDefault="00B4546C" w:rsidP="00B4546C">
      <w:pPr>
        <w:pStyle w:val="ListParagraph"/>
        <w:numPr>
          <w:ilvl w:val="0"/>
          <w:numId w:val="2"/>
        </w:numPr>
      </w:pPr>
      <w:r>
        <w:t>The 5-year period ending on the date of the distribution; or</w:t>
      </w:r>
    </w:p>
    <w:p w14:paraId="27F17A55" w14:textId="054800C6" w:rsidR="00B4546C" w:rsidRPr="00165F09" w:rsidRDefault="00B4546C" w:rsidP="00B4546C">
      <w:pPr>
        <w:pStyle w:val="ListParagraph"/>
        <w:numPr>
          <w:ilvl w:val="0"/>
          <w:numId w:val="2"/>
        </w:numPr>
      </w:pPr>
      <w:r>
        <w:t>The period that the REIT has been in existence.</w:t>
      </w:r>
      <w:r>
        <w:rPr>
          <w:rStyle w:val="FootnoteReference"/>
        </w:rPr>
        <w:footnoteReference w:id="14"/>
      </w:r>
      <w:r>
        <w:t xml:space="preserve">  </w:t>
      </w:r>
    </w:p>
    <w:p w14:paraId="48A68569" w14:textId="77777777" w:rsidR="00736CD5" w:rsidRDefault="00736CD5" w:rsidP="00736CD5"/>
    <w:p w14:paraId="2E80AAED" w14:textId="5D19D769" w:rsidR="00B17659" w:rsidRDefault="00B4546C" w:rsidP="00B4546C">
      <w:pPr>
        <w:ind w:firstLine="360"/>
      </w:pPr>
      <w:r>
        <w:t xml:space="preserve">These rules effectively allow a foreign individual or corporation to avoid the 35 percent tax imposed upon REIT distributions under FIRPTA if the foreign ownership </w:t>
      </w:r>
      <w:r>
        <w:lastRenderedPageBreak/>
        <w:t>is limited to 5 percent of a publicly-traded REIT or less than 50 percent of any other REIT.</w:t>
      </w:r>
    </w:p>
    <w:p w14:paraId="2B1B8635" w14:textId="77777777" w:rsidR="00757AE2" w:rsidRPr="00757AE2" w:rsidRDefault="00757AE2" w:rsidP="00757AE2">
      <w:pPr>
        <w:ind w:firstLine="360"/>
      </w:pPr>
      <w:r w:rsidRPr="00757AE2">
        <w:t> </w:t>
      </w:r>
    </w:p>
    <w:p w14:paraId="4B1B44BF" w14:textId="77777777" w:rsidR="003E6AB8" w:rsidRDefault="003E6AB8"/>
    <w:sectPr w:rsidR="003E6AB8" w:rsidSect="003E6A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7B221" w14:textId="77777777" w:rsidR="00826380" w:rsidRDefault="00826380" w:rsidP="00223F36">
      <w:r>
        <w:separator/>
      </w:r>
    </w:p>
  </w:endnote>
  <w:endnote w:type="continuationSeparator" w:id="0">
    <w:p w14:paraId="3E7186CE" w14:textId="77777777" w:rsidR="00826380" w:rsidRDefault="00826380" w:rsidP="0022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927D4" w14:textId="77777777" w:rsidR="00826380" w:rsidRDefault="00826380" w:rsidP="00223F36">
      <w:r>
        <w:separator/>
      </w:r>
    </w:p>
  </w:footnote>
  <w:footnote w:type="continuationSeparator" w:id="0">
    <w:p w14:paraId="29051970" w14:textId="77777777" w:rsidR="00826380" w:rsidRDefault="00826380" w:rsidP="00223F36">
      <w:r>
        <w:continuationSeparator/>
      </w:r>
    </w:p>
  </w:footnote>
  <w:footnote w:id="1">
    <w:p w14:paraId="02C053A8" w14:textId="1F9FE0B4" w:rsidR="00826380" w:rsidRPr="00631B1D" w:rsidRDefault="00826380">
      <w:pPr>
        <w:pStyle w:val="FootnoteText"/>
        <w:rPr>
          <w:sz w:val="16"/>
          <w:szCs w:val="16"/>
        </w:rPr>
      </w:pPr>
      <w:r w:rsidRPr="00631B1D">
        <w:rPr>
          <w:rStyle w:val="FootnoteReference"/>
          <w:sz w:val="16"/>
          <w:szCs w:val="16"/>
        </w:rPr>
        <w:footnoteRef/>
      </w:r>
      <w:r w:rsidRPr="00631B1D">
        <w:rPr>
          <w:sz w:val="16"/>
          <w:szCs w:val="16"/>
        </w:rPr>
        <w:t xml:space="preserve"> IRC Sec. 856(c).</w:t>
      </w:r>
    </w:p>
  </w:footnote>
  <w:footnote w:id="2">
    <w:p w14:paraId="25EC0BB7" w14:textId="3ADD8DE6" w:rsidR="00826380" w:rsidRPr="00631B1D" w:rsidRDefault="00826380">
      <w:pPr>
        <w:pStyle w:val="FootnoteText"/>
        <w:rPr>
          <w:sz w:val="16"/>
          <w:szCs w:val="16"/>
        </w:rPr>
      </w:pPr>
      <w:r w:rsidRPr="00631B1D">
        <w:rPr>
          <w:rStyle w:val="FootnoteReference"/>
          <w:sz w:val="16"/>
          <w:szCs w:val="16"/>
        </w:rPr>
        <w:footnoteRef/>
      </w:r>
      <w:r w:rsidRPr="00631B1D">
        <w:rPr>
          <w:sz w:val="16"/>
          <w:szCs w:val="16"/>
        </w:rPr>
        <w:t xml:space="preserve"> Prop. </w:t>
      </w:r>
      <w:proofErr w:type="gramStart"/>
      <w:r w:rsidRPr="00631B1D">
        <w:rPr>
          <w:sz w:val="16"/>
          <w:szCs w:val="16"/>
        </w:rPr>
        <w:t xml:space="preserve">Treas. Reg. </w:t>
      </w:r>
      <w:r w:rsidRPr="00757AE2">
        <w:rPr>
          <w:sz w:val="16"/>
          <w:szCs w:val="16"/>
        </w:rPr>
        <w:t>§</w:t>
      </w:r>
      <w:r w:rsidRPr="00631B1D">
        <w:rPr>
          <w:sz w:val="16"/>
          <w:szCs w:val="16"/>
        </w:rPr>
        <w:t>1.856-10(c).</w:t>
      </w:r>
      <w:proofErr w:type="gramEnd"/>
    </w:p>
  </w:footnote>
  <w:footnote w:id="3">
    <w:p w14:paraId="11AE7F0C" w14:textId="60998AFE" w:rsidR="00826380" w:rsidRPr="00631B1D" w:rsidRDefault="00826380">
      <w:pPr>
        <w:pStyle w:val="FootnoteText"/>
        <w:rPr>
          <w:sz w:val="16"/>
          <w:szCs w:val="16"/>
        </w:rPr>
      </w:pPr>
      <w:r w:rsidRPr="00631B1D">
        <w:rPr>
          <w:rStyle w:val="FootnoteReference"/>
          <w:sz w:val="16"/>
          <w:szCs w:val="16"/>
        </w:rPr>
        <w:footnoteRef/>
      </w:r>
      <w:r w:rsidRPr="00631B1D">
        <w:rPr>
          <w:sz w:val="16"/>
          <w:szCs w:val="16"/>
        </w:rPr>
        <w:t xml:space="preserve"> Prop. Treas. Reg. </w:t>
      </w:r>
      <w:r w:rsidRPr="00757AE2">
        <w:rPr>
          <w:sz w:val="16"/>
          <w:szCs w:val="16"/>
        </w:rPr>
        <w:t>§</w:t>
      </w:r>
      <w:r w:rsidRPr="00631B1D">
        <w:rPr>
          <w:sz w:val="16"/>
          <w:szCs w:val="16"/>
        </w:rPr>
        <w:t>1.856-10(d</w:t>
      </w:r>
      <w:proofErr w:type="gramStart"/>
      <w:r w:rsidRPr="00631B1D">
        <w:rPr>
          <w:sz w:val="16"/>
          <w:szCs w:val="16"/>
        </w:rPr>
        <w:t>)(</w:t>
      </w:r>
      <w:proofErr w:type="gramEnd"/>
      <w:r w:rsidRPr="00631B1D">
        <w:rPr>
          <w:sz w:val="16"/>
          <w:szCs w:val="16"/>
        </w:rPr>
        <w:t>2).</w:t>
      </w:r>
    </w:p>
  </w:footnote>
  <w:footnote w:id="4">
    <w:p w14:paraId="4C0E6FD0" w14:textId="7D761553" w:rsidR="00826380" w:rsidRDefault="00826380">
      <w:pPr>
        <w:pStyle w:val="FootnoteText"/>
      </w:pPr>
      <w:r w:rsidRPr="00631B1D">
        <w:rPr>
          <w:rStyle w:val="FootnoteReference"/>
          <w:sz w:val="16"/>
          <w:szCs w:val="16"/>
        </w:rPr>
        <w:footnoteRef/>
      </w:r>
      <w:r w:rsidRPr="00631B1D">
        <w:rPr>
          <w:sz w:val="16"/>
          <w:szCs w:val="16"/>
        </w:rPr>
        <w:t xml:space="preserve"> Prop. Treas. Reg. </w:t>
      </w:r>
      <w:r w:rsidRPr="00757AE2">
        <w:rPr>
          <w:sz w:val="16"/>
          <w:szCs w:val="16"/>
        </w:rPr>
        <w:t>§</w:t>
      </w:r>
      <w:r w:rsidRPr="00631B1D">
        <w:rPr>
          <w:sz w:val="16"/>
          <w:szCs w:val="16"/>
        </w:rPr>
        <w:t>1.856-10(d</w:t>
      </w:r>
      <w:proofErr w:type="gramStart"/>
      <w:r w:rsidRPr="00631B1D">
        <w:rPr>
          <w:sz w:val="16"/>
          <w:szCs w:val="16"/>
        </w:rPr>
        <w:t>)(</w:t>
      </w:r>
      <w:proofErr w:type="gramEnd"/>
      <w:r w:rsidRPr="00631B1D">
        <w:rPr>
          <w:sz w:val="16"/>
          <w:szCs w:val="16"/>
        </w:rPr>
        <w:t>2)(ii)(B).</w:t>
      </w:r>
    </w:p>
  </w:footnote>
  <w:footnote w:id="5">
    <w:p w14:paraId="228F519B" w14:textId="66DED163" w:rsidR="00826380" w:rsidRPr="00631B1D" w:rsidRDefault="00826380">
      <w:pPr>
        <w:pStyle w:val="FootnoteText"/>
        <w:rPr>
          <w:sz w:val="16"/>
          <w:szCs w:val="16"/>
        </w:rPr>
      </w:pPr>
      <w:r w:rsidRPr="00631B1D">
        <w:rPr>
          <w:rStyle w:val="FootnoteReference"/>
          <w:sz w:val="16"/>
          <w:szCs w:val="16"/>
        </w:rPr>
        <w:footnoteRef/>
      </w:r>
      <w:r w:rsidRPr="00631B1D">
        <w:rPr>
          <w:sz w:val="16"/>
          <w:szCs w:val="16"/>
        </w:rPr>
        <w:t xml:space="preserve"> Prop. Treas. Reg. </w:t>
      </w:r>
      <w:r w:rsidRPr="00757AE2">
        <w:rPr>
          <w:sz w:val="16"/>
          <w:szCs w:val="16"/>
        </w:rPr>
        <w:t>§</w:t>
      </w:r>
      <w:r w:rsidRPr="00631B1D">
        <w:rPr>
          <w:sz w:val="16"/>
          <w:szCs w:val="16"/>
        </w:rPr>
        <w:t>1.856-10(2</w:t>
      </w:r>
      <w:proofErr w:type="gramStart"/>
      <w:r w:rsidRPr="00631B1D">
        <w:rPr>
          <w:sz w:val="16"/>
          <w:szCs w:val="16"/>
        </w:rPr>
        <w:t>)(</w:t>
      </w:r>
      <w:proofErr w:type="gramEnd"/>
      <w:r w:rsidRPr="00631B1D">
        <w:rPr>
          <w:sz w:val="16"/>
          <w:szCs w:val="16"/>
        </w:rPr>
        <w:t>iii)(B).</w:t>
      </w:r>
    </w:p>
  </w:footnote>
  <w:footnote w:id="6">
    <w:p w14:paraId="203D8164" w14:textId="0D13C0FF" w:rsidR="00826380" w:rsidRDefault="00826380">
      <w:pPr>
        <w:pStyle w:val="FootnoteText"/>
      </w:pPr>
      <w:r w:rsidRPr="00631B1D">
        <w:rPr>
          <w:rStyle w:val="FootnoteReference"/>
          <w:sz w:val="16"/>
          <w:szCs w:val="16"/>
        </w:rPr>
        <w:footnoteRef/>
      </w:r>
      <w:r w:rsidRPr="00631B1D">
        <w:rPr>
          <w:sz w:val="16"/>
          <w:szCs w:val="16"/>
        </w:rPr>
        <w:t xml:space="preserve"> Prop. </w:t>
      </w:r>
      <w:proofErr w:type="gramStart"/>
      <w:r w:rsidRPr="00631B1D">
        <w:rPr>
          <w:sz w:val="16"/>
          <w:szCs w:val="16"/>
        </w:rPr>
        <w:t xml:space="preserve">Treas. Reg. </w:t>
      </w:r>
      <w:r w:rsidRPr="00757AE2">
        <w:rPr>
          <w:sz w:val="16"/>
          <w:szCs w:val="16"/>
        </w:rPr>
        <w:t>§</w:t>
      </w:r>
      <w:r w:rsidRPr="00631B1D">
        <w:rPr>
          <w:sz w:val="16"/>
          <w:szCs w:val="16"/>
        </w:rPr>
        <w:t>1.856-10(a).</w:t>
      </w:r>
      <w:proofErr w:type="gramEnd"/>
    </w:p>
  </w:footnote>
  <w:footnote w:id="7">
    <w:p w14:paraId="3557EA3D" w14:textId="6D8A83A2" w:rsidR="00826380" w:rsidRPr="00631B1D" w:rsidRDefault="00826380">
      <w:pPr>
        <w:pStyle w:val="FootnoteText"/>
        <w:rPr>
          <w:sz w:val="16"/>
          <w:szCs w:val="16"/>
        </w:rPr>
      </w:pPr>
      <w:r w:rsidRPr="00631B1D">
        <w:rPr>
          <w:rStyle w:val="FootnoteReference"/>
          <w:sz w:val="16"/>
          <w:szCs w:val="16"/>
        </w:rPr>
        <w:footnoteRef/>
      </w:r>
      <w:r w:rsidRPr="00631B1D">
        <w:rPr>
          <w:sz w:val="16"/>
          <w:szCs w:val="16"/>
        </w:rPr>
        <w:t xml:space="preserve"> Prop. Treas. Reg. </w:t>
      </w:r>
      <w:r w:rsidR="00BC4BF8" w:rsidRPr="00757AE2">
        <w:rPr>
          <w:sz w:val="16"/>
          <w:szCs w:val="16"/>
        </w:rPr>
        <w:t>§</w:t>
      </w:r>
      <w:r w:rsidRPr="00631B1D">
        <w:rPr>
          <w:sz w:val="16"/>
          <w:szCs w:val="16"/>
        </w:rPr>
        <w:t>1.856-10(d</w:t>
      </w:r>
      <w:proofErr w:type="gramStart"/>
      <w:r w:rsidRPr="00631B1D">
        <w:rPr>
          <w:sz w:val="16"/>
          <w:szCs w:val="16"/>
        </w:rPr>
        <w:t>)(</w:t>
      </w:r>
      <w:proofErr w:type="gramEnd"/>
      <w:r w:rsidRPr="00631B1D">
        <w:rPr>
          <w:sz w:val="16"/>
          <w:szCs w:val="16"/>
        </w:rPr>
        <w:t>3)(iii).</w:t>
      </w:r>
    </w:p>
  </w:footnote>
  <w:footnote w:id="8">
    <w:p w14:paraId="08C5CD24" w14:textId="75E8DEBA" w:rsidR="00826380" w:rsidRDefault="00826380">
      <w:pPr>
        <w:pStyle w:val="FootnoteText"/>
      </w:pPr>
      <w:r w:rsidRPr="00631B1D">
        <w:rPr>
          <w:rStyle w:val="FootnoteReference"/>
          <w:sz w:val="16"/>
          <w:szCs w:val="16"/>
        </w:rPr>
        <w:footnoteRef/>
      </w:r>
      <w:r w:rsidRPr="00631B1D">
        <w:rPr>
          <w:sz w:val="16"/>
          <w:szCs w:val="16"/>
        </w:rPr>
        <w:t xml:space="preserve"> Prop. Treas. Reg. </w:t>
      </w:r>
      <w:r w:rsidR="00BC4BF8" w:rsidRPr="00757AE2">
        <w:rPr>
          <w:sz w:val="16"/>
          <w:szCs w:val="16"/>
        </w:rPr>
        <w:t>§</w:t>
      </w:r>
      <w:r w:rsidRPr="00631B1D">
        <w:rPr>
          <w:sz w:val="16"/>
          <w:szCs w:val="16"/>
        </w:rPr>
        <w:t>1.856-10(d</w:t>
      </w:r>
      <w:proofErr w:type="gramStart"/>
      <w:r w:rsidRPr="00631B1D">
        <w:rPr>
          <w:sz w:val="16"/>
          <w:szCs w:val="16"/>
        </w:rPr>
        <w:t>)(</w:t>
      </w:r>
      <w:proofErr w:type="gramEnd"/>
      <w:r w:rsidRPr="00631B1D">
        <w:rPr>
          <w:sz w:val="16"/>
          <w:szCs w:val="16"/>
        </w:rPr>
        <w:t>3)(iii).</w:t>
      </w:r>
    </w:p>
  </w:footnote>
  <w:footnote w:id="9">
    <w:p w14:paraId="26821CA5" w14:textId="0E76A8AB" w:rsidR="00826380" w:rsidRPr="00B4546C" w:rsidRDefault="00826380">
      <w:pPr>
        <w:pStyle w:val="FootnoteText"/>
        <w:rPr>
          <w:sz w:val="16"/>
          <w:szCs w:val="16"/>
        </w:rPr>
      </w:pPr>
      <w:r w:rsidRPr="00B4546C">
        <w:rPr>
          <w:rStyle w:val="FootnoteReference"/>
          <w:sz w:val="16"/>
          <w:szCs w:val="16"/>
        </w:rPr>
        <w:footnoteRef/>
      </w:r>
      <w:r w:rsidRPr="00B4546C">
        <w:rPr>
          <w:sz w:val="16"/>
          <w:szCs w:val="16"/>
        </w:rPr>
        <w:t xml:space="preserve"> IRC Sec. </w:t>
      </w:r>
      <w:proofErr w:type="gramStart"/>
      <w:r w:rsidRPr="00B4546C">
        <w:rPr>
          <w:sz w:val="16"/>
          <w:szCs w:val="16"/>
        </w:rPr>
        <w:t>1445(a</w:t>
      </w:r>
      <w:proofErr w:type="gramEnd"/>
      <w:r w:rsidRPr="00B4546C">
        <w:rPr>
          <w:sz w:val="16"/>
          <w:szCs w:val="16"/>
        </w:rPr>
        <w:t>).</w:t>
      </w:r>
    </w:p>
  </w:footnote>
  <w:footnote w:id="10">
    <w:p w14:paraId="0027D934" w14:textId="7B0650A6" w:rsidR="00826380" w:rsidRPr="00B4546C" w:rsidRDefault="00826380">
      <w:pPr>
        <w:pStyle w:val="FootnoteText"/>
        <w:rPr>
          <w:sz w:val="16"/>
          <w:szCs w:val="16"/>
        </w:rPr>
      </w:pPr>
      <w:r w:rsidRPr="00B4546C">
        <w:rPr>
          <w:rStyle w:val="FootnoteReference"/>
          <w:sz w:val="16"/>
          <w:szCs w:val="16"/>
        </w:rPr>
        <w:footnoteRef/>
      </w:r>
      <w:r w:rsidRPr="00B4546C">
        <w:rPr>
          <w:sz w:val="16"/>
          <w:szCs w:val="16"/>
        </w:rPr>
        <w:t xml:space="preserve"> IRC Sec. 1445(e)(6).</w:t>
      </w:r>
    </w:p>
  </w:footnote>
  <w:footnote w:id="11">
    <w:p w14:paraId="571B23B8" w14:textId="3EF355D9" w:rsidR="00826380" w:rsidRDefault="00826380">
      <w:pPr>
        <w:pStyle w:val="FootnoteText"/>
      </w:pPr>
      <w:r w:rsidRPr="00B4546C">
        <w:rPr>
          <w:rStyle w:val="FootnoteReference"/>
          <w:sz w:val="16"/>
          <w:szCs w:val="16"/>
        </w:rPr>
        <w:footnoteRef/>
      </w:r>
      <w:r w:rsidRPr="00B4546C">
        <w:rPr>
          <w:sz w:val="16"/>
          <w:szCs w:val="16"/>
        </w:rPr>
        <w:t xml:space="preserve"> Treas. Reg. </w:t>
      </w:r>
      <w:r w:rsidR="00BC4BF8" w:rsidRPr="00757AE2">
        <w:rPr>
          <w:sz w:val="16"/>
          <w:szCs w:val="16"/>
        </w:rPr>
        <w:t>§</w:t>
      </w:r>
      <w:r w:rsidRPr="00B4546C">
        <w:rPr>
          <w:sz w:val="16"/>
          <w:szCs w:val="16"/>
        </w:rPr>
        <w:t>1.1445-8(c</w:t>
      </w:r>
      <w:proofErr w:type="gramStart"/>
      <w:r w:rsidRPr="00B4546C">
        <w:rPr>
          <w:sz w:val="16"/>
          <w:szCs w:val="16"/>
        </w:rPr>
        <w:t>)(</w:t>
      </w:r>
      <w:proofErr w:type="gramEnd"/>
      <w:r w:rsidRPr="00B4546C">
        <w:rPr>
          <w:sz w:val="16"/>
          <w:szCs w:val="16"/>
        </w:rPr>
        <w:t>2)(ii).</w:t>
      </w:r>
    </w:p>
  </w:footnote>
  <w:footnote w:id="12">
    <w:p w14:paraId="6EFF4A79" w14:textId="7041BF26" w:rsidR="00826380" w:rsidRPr="00B4546C" w:rsidRDefault="00826380">
      <w:pPr>
        <w:pStyle w:val="FootnoteText"/>
        <w:rPr>
          <w:sz w:val="16"/>
          <w:szCs w:val="16"/>
        </w:rPr>
      </w:pPr>
      <w:r w:rsidRPr="00B4546C">
        <w:rPr>
          <w:rStyle w:val="FootnoteReference"/>
          <w:sz w:val="16"/>
          <w:szCs w:val="16"/>
        </w:rPr>
        <w:footnoteRef/>
      </w:r>
      <w:r w:rsidRPr="00B4546C">
        <w:rPr>
          <w:sz w:val="16"/>
          <w:szCs w:val="16"/>
        </w:rPr>
        <w:t xml:space="preserve"> IRC Sec. 897(h)(1).</w:t>
      </w:r>
    </w:p>
  </w:footnote>
  <w:footnote w:id="13">
    <w:p w14:paraId="178E826D" w14:textId="319F118B" w:rsidR="00826380" w:rsidRPr="00B4546C" w:rsidRDefault="00826380">
      <w:pPr>
        <w:pStyle w:val="FootnoteText"/>
        <w:rPr>
          <w:sz w:val="16"/>
          <w:szCs w:val="16"/>
        </w:rPr>
      </w:pPr>
      <w:r w:rsidRPr="00B4546C">
        <w:rPr>
          <w:rStyle w:val="FootnoteReference"/>
          <w:sz w:val="16"/>
          <w:szCs w:val="16"/>
        </w:rPr>
        <w:footnoteRef/>
      </w:r>
      <w:r w:rsidRPr="00B4546C">
        <w:rPr>
          <w:sz w:val="16"/>
          <w:szCs w:val="16"/>
        </w:rPr>
        <w:t xml:space="preserve"> IRC Sec. 897(h)(2).</w:t>
      </w:r>
    </w:p>
  </w:footnote>
  <w:footnote w:id="14">
    <w:p w14:paraId="36526D0B" w14:textId="734808F0" w:rsidR="00826380" w:rsidRDefault="00826380">
      <w:pPr>
        <w:pStyle w:val="FootnoteText"/>
      </w:pPr>
      <w:r w:rsidRPr="00B4546C">
        <w:rPr>
          <w:rStyle w:val="FootnoteReference"/>
          <w:sz w:val="16"/>
          <w:szCs w:val="16"/>
        </w:rPr>
        <w:footnoteRef/>
      </w:r>
      <w:r w:rsidRPr="00B4546C">
        <w:rPr>
          <w:sz w:val="16"/>
          <w:szCs w:val="16"/>
        </w:rPr>
        <w:t xml:space="preserve"> IRC Sec. 897(h)(4).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26F"/>
    <w:multiLevelType w:val="hybridMultilevel"/>
    <w:tmpl w:val="62BAE230"/>
    <w:lvl w:ilvl="0" w:tplc="8FB0B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10ED3"/>
    <w:multiLevelType w:val="hybridMultilevel"/>
    <w:tmpl w:val="B7969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84E2B"/>
    <w:multiLevelType w:val="hybridMultilevel"/>
    <w:tmpl w:val="B666FBBE"/>
    <w:lvl w:ilvl="0" w:tplc="A7806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F68A3"/>
    <w:multiLevelType w:val="multilevel"/>
    <w:tmpl w:val="2244D548"/>
    <w:lvl w:ilvl="0">
      <w:start w:val="7902"/>
      <w:numFmt w:val="decimal"/>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69851B9"/>
    <w:multiLevelType w:val="hybridMultilevel"/>
    <w:tmpl w:val="0D5275E6"/>
    <w:lvl w:ilvl="0" w:tplc="D1A67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D41B8"/>
    <w:multiLevelType w:val="multilevel"/>
    <w:tmpl w:val="E3B8A048"/>
    <w:lvl w:ilvl="0">
      <w:start w:val="7891"/>
      <w:numFmt w:val="decimal"/>
      <w:lvlText w:val="%1"/>
      <w:lvlJc w:val="left"/>
      <w:pPr>
        <w:ind w:left="960" w:hanging="960"/>
      </w:pPr>
      <w:rPr>
        <w:rFonts w:hint="default"/>
      </w:rPr>
    </w:lvl>
    <w:lvl w:ilvl="1">
      <w:start w:val="2"/>
      <w:numFmt w:val="decimalZero"/>
      <w:lvlText w:val="%1.%2"/>
      <w:lvlJc w:val="left"/>
      <w:pPr>
        <w:ind w:left="1320" w:hanging="960"/>
      </w:pPr>
      <w:rPr>
        <w:rFonts w:hint="default"/>
      </w:rPr>
    </w:lvl>
    <w:lvl w:ilvl="2">
      <w:start w:val="1"/>
      <w:numFmt w:val="decimal"/>
      <w:lvlText w:val="%1.%2.%3"/>
      <w:lvlJc w:val="left"/>
      <w:pPr>
        <w:ind w:left="1680" w:hanging="96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072475B"/>
    <w:multiLevelType w:val="hybridMultilevel"/>
    <w:tmpl w:val="4C70DBE8"/>
    <w:lvl w:ilvl="0" w:tplc="C1CE8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A5"/>
    <w:rsid w:val="00111230"/>
    <w:rsid w:val="00116319"/>
    <w:rsid w:val="00165F09"/>
    <w:rsid w:val="00192C58"/>
    <w:rsid w:val="00223F36"/>
    <w:rsid w:val="00266C98"/>
    <w:rsid w:val="00281D1B"/>
    <w:rsid w:val="002E244C"/>
    <w:rsid w:val="003066E5"/>
    <w:rsid w:val="003A27B9"/>
    <w:rsid w:val="003E6AB8"/>
    <w:rsid w:val="00400B22"/>
    <w:rsid w:val="0044451B"/>
    <w:rsid w:val="004D02DB"/>
    <w:rsid w:val="00506848"/>
    <w:rsid w:val="00593C7D"/>
    <w:rsid w:val="00631B1D"/>
    <w:rsid w:val="00736CD5"/>
    <w:rsid w:val="00757AE2"/>
    <w:rsid w:val="007E24C5"/>
    <w:rsid w:val="007F798D"/>
    <w:rsid w:val="008214FE"/>
    <w:rsid w:val="00826380"/>
    <w:rsid w:val="00881F11"/>
    <w:rsid w:val="008F5A63"/>
    <w:rsid w:val="00915C34"/>
    <w:rsid w:val="0094408D"/>
    <w:rsid w:val="0098128F"/>
    <w:rsid w:val="009D4685"/>
    <w:rsid w:val="00A24501"/>
    <w:rsid w:val="00A76019"/>
    <w:rsid w:val="00AD09E2"/>
    <w:rsid w:val="00B17659"/>
    <w:rsid w:val="00B35217"/>
    <w:rsid w:val="00B4546C"/>
    <w:rsid w:val="00B7743D"/>
    <w:rsid w:val="00BC4BF8"/>
    <w:rsid w:val="00BC57E2"/>
    <w:rsid w:val="00C030E1"/>
    <w:rsid w:val="00C23816"/>
    <w:rsid w:val="00C56FA7"/>
    <w:rsid w:val="00C87EA9"/>
    <w:rsid w:val="00D94CE5"/>
    <w:rsid w:val="00DC06A5"/>
    <w:rsid w:val="00EB2E68"/>
    <w:rsid w:val="00F23884"/>
    <w:rsid w:val="00FD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72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A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06A5"/>
    <w:rPr>
      <w:color w:val="0000FF"/>
      <w:u w:val="single"/>
    </w:rPr>
  </w:style>
  <w:style w:type="paragraph" w:styleId="FootnoteText">
    <w:name w:val="footnote text"/>
    <w:basedOn w:val="Normal"/>
    <w:link w:val="FootnoteTextChar"/>
    <w:uiPriority w:val="99"/>
    <w:unhideWhenUsed/>
    <w:rsid w:val="00223F36"/>
  </w:style>
  <w:style w:type="character" w:customStyle="1" w:styleId="FootnoteTextChar">
    <w:name w:val="Footnote Text Char"/>
    <w:basedOn w:val="DefaultParagraphFont"/>
    <w:link w:val="FootnoteText"/>
    <w:uiPriority w:val="99"/>
    <w:rsid w:val="00223F36"/>
    <w:rPr>
      <w:rFonts w:ascii="Cambria" w:eastAsia="MS Mincho" w:hAnsi="Cambria" w:cs="Times New Roman"/>
    </w:rPr>
  </w:style>
  <w:style w:type="character" w:styleId="FootnoteReference">
    <w:name w:val="footnote reference"/>
    <w:basedOn w:val="DefaultParagraphFont"/>
    <w:uiPriority w:val="99"/>
    <w:unhideWhenUsed/>
    <w:rsid w:val="00223F36"/>
    <w:rPr>
      <w:vertAlign w:val="superscript"/>
    </w:rPr>
  </w:style>
  <w:style w:type="character" w:styleId="FollowedHyperlink">
    <w:name w:val="FollowedHyperlink"/>
    <w:basedOn w:val="DefaultParagraphFont"/>
    <w:uiPriority w:val="99"/>
    <w:semiHidden/>
    <w:unhideWhenUsed/>
    <w:rsid w:val="00C23816"/>
    <w:rPr>
      <w:color w:val="800080" w:themeColor="followedHyperlink"/>
      <w:u w:val="single"/>
    </w:rPr>
  </w:style>
  <w:style w:type="paragraph" w:styleId="ListParagraph">
    <w:name w:val="List Paragraph"/>
    <w:basedOn w:val="Normal"/>
    <w:uiPriority w:val="34"/>
    <w:qFormat/>
    <w:rsid w:val="00B45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A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06A5"/>
    <w:rPr>
      <w:color w:val="0000FF"/>
      <w:u w:val="single"/>
    </w:rPr>
  </w:style>
  <w:style w:type="paragraph" w:styleId="FootnoteText">
    <w:name w:val="footnote text"/>
    <w:basedOn w:val="Normal"/>
    <w:link w:val="FootnoteTextChar"/>
    <w:uiPriority w:val="99"/>
    <w:unhideWhenUsed/>
    <w:rsid w:val="00223F36"/>
  </w:style>
  <w:style w:type="character" w:customStyle="1" w:styleId="FootnoteTextChar">
    <w:name w:val="Footnote Text Char"/>
    <w:basedOn w:val="DefaultParagraphFont"/>
    <w:link w:val="FootnoteText"/>
    <w:uiPriority w:val="99"/>
    <w:rsid w:val="00223F36"/>
    <w:rPr>
      <w:rFonts w:ascii="Cambria" w:eastAsia="MS Mincho" w:hAnsi="Cambria" w:cs="Times New Roman"/>
    </w:rPr>
  </w:style>
  <w:style w:type="character" w:styleId="FootnoteReference">
    <w:name w:val="footnote reference"/>
    <w:basedOn w:val="DefaultParagraphFont"/>
    <w:uiPriority w:val="99"/>
    <w:unhideWhenUsed/>
    <w:rsid w:val="00223F36"/>
    <w:rPr>
      <w:vertAlign w:val="superscript"/>
    </w:rPr>
  </w:style>
  <w:style w:type="character" w:styleId="FollowedHyperlink">
    <w:name w:val="FollowedHyperlink"/>
    <w:basedOn w:val="DefaultParagraphFont"/>
    <w:uiPriority w:val="99"/>
    <w:semiHidden/>
    <w:unhideWhenUsed/>
    <w:rsid w:val="00C23816"/>
    <w:rPr>
      <w:color w:val="800080" w:themeColor="followedHyperlink"/>
      <w:u w:val="single"/>
    </w:rPr>
  </w:style>
  <w:style w:type="paragraph" w:styleId="ListParagraph">
    <w:name w:val="List Paragraph"/>
    <w:basedOn w:val="Normal"/>
    <w:uiPriority w:val="34"/>
    <w:qFormat/>
    <w:rsid w:val="00B4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821">
      <w:bodyDiv w:val="1"/>
      <w:marLeft w:val="0"/>
      <w:marRight w:val="0"/>
      <w:marTop w:val="0"/>
      <w:marBottom w:val="0"/>
      <w:divBdr>
        <w:top w:val="none" w:sz="0" w:space="0" w:color="auto"/>
        <w:left w:val="none" w:sz="0" w:space="0" w:color="auto"/>
        <w:bottom w:val="none" w:sz="0" w:space="0" w:color="auto"/>
        <w:right w:val="none" w:sz="0" w:space="0" w:color="auto"/>
      </w:divBdr>
    </w:div>
    <w:div w:id="34276470">
      <w:bodyDiv w:val="1"/>
      <w:marLeft w:val="0"/>
      <w:marRight w:val="0"/>
      <w:marTop w:val="0"/>
      <w:marBottom w:val="0"/>
      <w:divBdr>
        <w:top w:val="none" w:sz="0" w:space="0" w:color="auto"/>
        <w:left w:val="none" w:sz="0" w:space="0" w:color="auto"/>
        <w:bottom w:val="none" w:sz="0" w:space="0" w:color="auto"/>
        <w:right w:val="none" w:sz="0" w:space="0" w:color="auto"/>
      </w:divBdr>
    </w:div>
    <w:div w:id="34668662">
      <w:bodyDiv w:val="1"/>
      <w:marLeft w:val="0"/>
      <w:marRight w:val="0"/>
      <w:marTop w:val="0"/>
      <w:marBottom w:val="0"/>
      <w:divBdr>
        <w:top w:val="none" w:sz="0" w:space="0" w:color="auto"/>
        <w:left w:val="none" w:sz="0" w:space="0" w:color="auto"/>
        <w:bottom w:val="none" w:sz="0" w:space="0" w:color="auto"/>
        <w:right w:val="none" w:sz="0" w:space="0" w:color="auto"/>
      </w:divBdr>
    </w:div>
    <w:div w:id="49576664">
      <w:bodyDiv w:val="1"/>
      <w:marLeft w:val="0"/>
      <w:marRight w:val="0"/>
      <w:marTop w:val="0"/>
      <w:marBottom w:val="0"/>
      <w:divBdr>
        <w:top w:val="none" w:sz="0" w:space="0" w:color="auto"/>
        <w:left w:val="none" w:sz="0" w:space="0" w:color="auto"/>
        <w:bottom w:val="none" w:sz="0" w:space="0" w:color="auto"/>
        <w:right w:val="none" w:sz="0" w:space="0" w:color="auto"/>
      </w:divBdr>
    </w:div>
    <w:div w:id="51928511">
      <w:bodyDiv w:val="1"/>
      <w:marLeft w:val="0"/>
      <w:marRight w:val="0"/>
      <w:marTop w:val="0"/>
      <w:marBottom w:val="0"/>
      <w:divBdr>
        <w:top w:val="none" w:sz="0" w:space="0" w:color="auto"/>
        <w:left w:val="none" w:sz="0" w:space="0" w:color="auto"/>
        <w:bottom w:val="none" w:sz="0" w:space="0" w:color="auto"/>
        <w:right w:val="none" w:sz="0" w:space="0" w:color="auto"/>
      </w:divBdr>
    </w:div>
    <w:div w:id="55050544">
      <w:bodyDiv w:val="1"/>
      <w:marLeft w:val="0"/>
      <w:marRight w:val="0"/>
      <w:marTop w:val="0"/>
      <w:marBottom w:val="0"/>
      <w:divBdr>
        <w:top w:val="none" w:sz="0" w:space="0" w:color="auto"/>
        <w:left w:val="none" w:sz="0" w:space="0" w:color="auto"/>
        <w:bottom w:val="none" w:sz="0" w:space="0" w:color="auto"/>
        <w:right w:val="none" w:sz="0" w:space="0" w:color="auto"/>
      </w:divBdr>
    </w:div>
    <w:div w:id="71974683">
      <w:bodyDiv w:val="1"/>
      <w:marLeft w:val="0"/>
      <w:marRight w:val="0"/>
      <w:marTop w:val="0"/>
      <w:marBottom w:val="0"/>
      <w:divBdr>
        <w:top w:val="none" w:sz="0" w:space="0" w:color="auto"/>
        <w:left w:val="none" w:sz="0" w:space="0" w:color="auto"/>
        <w:bottom w:val="none" w:sz="0" w:space="0" w:color="auto"/>
        <w:right w:val="none" w:sz="0" w:space="0" w:color="auto"/>
      </w:divBdr>
    </w:div>
    <w:div w:id="73939727">
      <w:bodyDiv w:val="1"/>
      <w:marLeft w:val="0"/>
      <w:marRight w:val="0"/>
      <w:marTop w:val="0"/>
      <w:marBottom w:val="0"/>
      <w:divBdr>
        <w:top w:val="none" w:sz="0" w:space="0" w:color="auto"/>
        <w:left w:val="none" w:sz="0" w:space="0" w:color="auto"/>
        <w:bottom w:val="none" w:sz="0" w:space="0" w:color="auto"/>
        <w:right w:val="none" w:sz="0" w:space="0" w:color="auto"/>
      </w:divBdr>
    </w:div>
    <w:div w:id="87312336">
      <w:bodyDiv w:val="1"/>
      <w:marLeft w:val="0"/>
      <w:marRight w:val="0"/>
      <w:marTop w:val="0"/>
      <w:marBottom w:val="0"/>
      <w:divBdr>
        <w:top w:val="none" w:sz="0" w:space="0" w:color="auto"/>
        <w:left w:val="none" w:sz="0" w:space="0" w:color="auto"/>
        <w:bottom w:val="none" w:sz="0" w:space="0" w:color="auto"/>
        <w:right w:val="none" w:sz="0" w:space="0" w:color="auto"/>
      </w:divBdr>
    </w:div>
    <w:div w:id="93285266">
      <w:bodyDiv w:val="1"/>
      <w:marLeft w:val="0"/>
      <w:marRight w:val="0"/>
      <w:marTop w:val="0"/>
      <w:marBottom w:val="0"/>
      <w:divBdr>
        <w:top w:val="none" w:sz="0" w:space="0" w:color="auto"/>
        <w:left w:val="none" w:sz="0" w:space="0" w:color="auto"/>
        <w:bottom w:val="none" w:sz="0" w:space="0" w:color="auto"/>
        <w:right w:val="none" w:sz="0" w:space="0" w:color="auto"/>
      </w:divBdr>
    </w:div>
    <w:div w:id="164129791">
      <w:bodyDiv w:val="1"/>
      <w:marLeft w:val="0"/>
      <w:marRight w:val="0"/>
      <w:marTop w:val="0"/>
      <w:marBottom w:val="0"/>
      <w:divBdr>
        <w:top w:val="none" w:sz="0" w:space="0" w:color="auto"/>
        <w:left w:val="none" w:sz="0" w:space="0" w:color="auto"/>
        <w:bottom w:val="none" w:sz="0" w:space="0" w:color="auto"/>
        <w:right w:val="none" w:sz="0" w:space="0" w:color="auto"/>
      </w:divBdr>
    </w:div>
    <w:div w:id="174732449">
      <w:bodyDiv w:val="1"/>
      <w:marLeft w:val="0"/>
      <w:marRight w:val="0"/>
      <w:marTop w:val="0"/>
      <w:marBottom w:val="0"/>
      <w:divBdr>
        <w:top w:val="none" w:sz="0" w:space="0" w:color="auto"/>
        <w:left w:val="none" w:sz="0" w:space="0" w:color="auto"/>
        <w:bottom w:val="none" w:sz="0" w:space="0" w:color="auto"/>
        <w:right w:val="none" w:sz="0" w:space="0" w:color="auto"/>
      </w:divBdr>
    </w:div>
    <w:div w:id="222722261">
      <w:bodyDiv w:val="1"/>
      <w:marLeft w:val="0"/>
      <w:marRight w:val="0"/>
      <w:marTop w:val="0"/>
      <w:marBottom w:val="0"/>
      <w:divBdr>
        <w:top w:val="none" w:sz="0" w:space="0" w:color="auto"/>
        <w:left w:val="none" w:sz="0" w:space="0" w:color="auto"/>
        <w:bottom w:val="none" w:sz="0" w:space="0" w:color="auto"/>
        <w:right w:val="none" w:sz="0" w:space="0" w:color="auto"/>
      </w:divBdr>
    </w:div>
    <w:div w:id="228999505">
      <w:bodyDiv w:val="1"/>
      <w:marLeft w:val="0"/>
      <w:marRight w:val="0"/>
      <w:marTop w:val="0"/>
      <w:marBottom w:val="0"/>
      <w:divBdr>
        <w:top w:val="none" w:sz="0" w:space="0" w:color="auto"/>
        <w:left w:val="none" w:sz="0" w:space="0" w:color="auto"/>
        <w:bottom w:val="none" w:sz="0" w:space="0" w:color="auto"/>
        <w:right w:val="none" w:sz="0" w:space="0" w:color="auto"/>
      </w:divBdr>
    </w:div>
    <w:div w:id="264465342">
      <w:bodyDiv w:val="1"/>
      <w:marLeft w:val="0"/>
      <w:marRight w:val="0"/>
      <w:marTop w:val="0"/>
      <w:marBottom w:val="0"/>
      <w:divBdr>
        <w:top w:val="none" w:sz="0" w:space="0" w:color="auto"/>
        <w:left w:val="none" w:sz="0" w:space="0" w:color="auto"/>
        <w:bottom w:val="none" w:sz="0" w:space="0" w:color="auto"/>
        <w:right w:val="none" w:sz="0" w:space="0" w:color="auto"/>
      </w:divBdr>
    </w:div>
    <w:div w:id="344601695">
      <w:bodyDiv w:val="1"/>
      <w:marLeft w:val="0"/>
      <w:marRight w:val="0"/>
      <w:marTop w:val="0"/>
      <w:marBottom w:val="0"/>
      <w:divBdr>
        <w:top w:val="none" w:sz="0" w:space="0" w:color="auto"/>
        <w:left w:val="none" w:sz="0" w:space="0" w:color="auto"/>
        <w:bottom w:val="none" w:sz="0" w:space="0" w:color="auto"/>
        <w:right w:val="none" w:sz="0" w:space="0" w:color="auto"/>
      </w:divBdr>
    </w:div>
    <w:div w:id="367534019">
      <w:bodyDiv w:val="1"/>
      <w:marLeft w:val="0"/>
      <w:marRight w:val="0"/>
      <w:marTop w:val="0"/>
      <w:marBottom w:val="0"/>
      <w:divBdr>
        <w:top w:val="none" w:sz="0" w:space="0" w:color="auto"/>
        <w:left w:val="none" w:sz="0" w:space="0" w:color="auto"/>
        <w:bottom w:val="none" w:sz="0" w:space="0" w:color="auto"/>
        <w:right w:val="none" w:sz="0" w:space="0" w:color="auto"/>
      </w:divBdr>
    </w:div>
    <w:div w:id="368652656">
      <w:bodyDiv w:val="1"/>
      <w:marLeft w:val="0"/>
      <w:marRight w:val="0"/>
      <w:marTop w:val="0"/>
      <w:marBottom w:val="0"/>
      <w:divBdr>
        <w:top w:val="none" w:sz="0" w:space="0" w:color="auto"/>
        <w:left w:val="none" w:sz="0" w:space="0" w:color="auto"/>
        <w:bottom w:val="none" w:sz="0" w:space="0" w:color="auto"/>
        <w:right w:val="none" w:sz="0" w:space="0" w:color="auto"/>
      </w:divBdr>
    </w:div>
    <w:div w:id="383873969">
      <w:bodyDiv w:val="1"/>
      <w:marLeft w:val="0"/>
      <w:marRight w:val="0"/>
      <w:marTop w:val="0"/>
      <w:marBottom w:val="0"/>
      <w:divBdr>
        <w:top w:val="none" w:sz="0" w:space="0" w:color="auto"/>
        <w:left w:val="none" w:sz="0" w:space="0" w:color="auto"/>
        <w:bottom w:val="none" w:sz="0" w:space="0" w:color="auto"/>
        <w:right w:val="none" w:sz="0" w:space="0" w:color="auto"/>
      </w:divBdr>
    </w:div>
    <w:div w:id="386420210">
      <w:bodyDiv w:val="1"/>
      <w:marLeft w:val="0"/>
      <w:marRight w:val="0"/>
      <w:marTop w:val="0"/>
      <w:marBottom w:val="0"/>
      <w:divBdr>
        <w:top w:val="none" w:sz="0" w:space="0" w:color="auto"/>
        <w:left w:val="none" w:sz="0" w:space="0" w:color="auto"/>
        <w:bottom w:val="none" w:sz="0" w:space="0" w:color="auto"/>
        <w:right w:val="none" w:sz="0" w:space="0" w:color="auto"/>
      </w:divBdr>
    </w:div>
    <w:div w:id="397171281">
      <w:bodyDiv w:val="1"/>
      <w:marLeft w:val="0"/>
      <w:marRight w:val="0"/>
      <w:marTop w:val="0"/>
      <w:marBottom w:val="0"/>
      <w:divBdr>
        <w:top w:val="none" w:sz="0" w:space="0" w:color="auto"/>
        <w:left w:val="none" w:sz="0" w:space="0" w:color="auto"/>
        <w:bottom w:val="none" w:sz="0" w:space="0" w:color="auto"/>
        <w:right w:val="none" w:sz="0" w:space="0" w:color="auto"/>
      </w:divBdr>
    </w:div>
    <w:div w:id="450512274">
      <w:bodyDiv w:val="1"/>
      <w:marLeft w:val="0"/>
      <w:marRight w:val="0"/>
      <w:marTop w:val="0"/>
      <w:marBottom w:val="0"/>
      <w:divBdr>
        <w:top w:val="none" w:sz="0" w:space="0" w:color="auto"/>
        <w:left w:val="none" w:sz="0" w:space="0" w:color="auto"/>
        <w:bottom w:val="none" w:sz="0" w:space="0" w:color="auto"/>
        <w:right w:val="none" w:sz="0" w:space="0" w:color="auto"/>
      </w:divBdr>
    </w:div>
    <w:div w:id="475730658">
      <w:bodyDiv w:val="1"/>
      <w:marLeft w:val="0"/>
      <w:marRight w:val="0"/>
      <w:marTop w:val="0"/>
      <w:marBottom w:val="0"/>
      <w:divBdr>
        <w:top w:val="none" w:sz="0" w:space="0" w:color="auto"/>
        <w:left w:val="none" w:sz="0" w:space="0" w:color="auto"/>
        <w:bottom w:val="none" w:sz="0" w:space="0" w:color="auto"/>
        <w:right w:val="none" w:sz="0" w:space="0" w:color="auto"/>
      </w:divBdr>
    </w:div>
    <w:div w:id="517352957">
      <w:bodyDiv w:val="1"/>
      <w:marLeft w:val="0"/>
      <w:marRight w:val="0"/>
      <w:marTop w:val="0"/>
      <w:marBottom w:val="0"/>
      <w:divBdr>
        <w:top w:val="none" w:sz="0" w:space="0" w:color="auto"/>
        <w:left w:val="none" w:sz="0" w:space="0" w:color="auto"/>
        <w:bottom w:val="none" w:sz="0" w:space="0" w:color="auto"/>
        <w:right w:val="none" w:sz="0" w:space="0" w:color="auto"/>
      </w:divBdr>
    </w:div>
    <w:div w:id="527644914">
      <w:bodyDiv w:val="1"/>
      <w:marLeft w:val="0"/>
      <w:marRight w:val="0"/>
      <w:marTop w:val="0"/>
      <w:marBottom w:val="0"/>
      <w:divBdr>
        <w:top w:val="none" w:sz="0" w:space="0" w:color="auto"/>
        <w:left w:val="none" w:sz="0" w:space="0" w:color="auto"/>
        <w:bottom w:val="none" w:sz="0" w:space="0" w:color="auto"/>
        <w:right w:val="none" w:sz="0" w:space="0" w:color="auto"/>
      </w:divBdr>
    </w:div>
    <w:div w:id="541216486">
      <w:bodyDiv w:val="1"/>
      <w:marLeft w:val="0"/>
      <w:marRight w:val="0"/>
      <w:marTop w:val="0"/>
      <w:marBottom w:val="0"/>
      <w:divBdr>
        <w:top w:val="none" w:sz="0" w:space="0" w:color="auto"/>
        <w:left w:val="none" w:sz="0" w:space="0" w:color="auto"/>
        <w:bottom w:val="none" w:sz="0" w:space="0" w:color="auto"/>
        <w:right w:val="none" w:sz="0" w:space="0" w:color="auto"/>
      </w:divBdr>
    </w:div>
    <w:div w:id="602811765">
      <w:bodyDiv w:val="1"/>
      <w:marLeft w:val="0"/>
      <w:marRight w:val="0"/>
      <w:marTop w:val="0"/>
      <w:marBottom w:val="0"/>
      <w:divBdr>
        <w:top w:val="none" w:sz="0" w:space="0" w:color="auto"/>
        <w:left w:val="none" w:sz="0" w:space="0" w:color="auto"/>
        <w:bottom w:val="none" w:sz="0" w:space="0" w:color="auto"/>
        <w:right w:val="none" w:sz="0" w:space="0" w:color="auto"/>
      </w:divBdr>
    </w:div>
    <w:div w:id="680812896">
      <w:bodyDiv w:val="1"/>
      <w:marLeft w:val="0"/>
      <w:marRight w:val="0"/>
      <w:marTop w:val="0"/>
      <w:marBottom w:val="0"/>
      <w:divBdr>
        <w:top w:val="none" w:sz="0" w:space="0" w:color="auto"/>
        <w:left w:val="none" w:sz="0" w:space="0" w:color="auto"/>
        <w:bottom w:val="none" w:sz="0" w:space="0" w:color="auto"/>
        <w:right w:val="none" w:sz="0" w:space="0" w:color="auto"/>
      </w:divBdr>
    </w:div>
    <w:div w:id="718866742">
      <w:bodyDiv w:val="1"/>
      <w:marLeft w:val="0"/>
      <w:marRight w:val="0"/>
      <w:marTop w:val="0"/>
      <w:marBottom w:val="0"/>
      <w:divBdr>
        <w:top w:val="none" w:sz="0" w:space="0" w:color="auto"/>
        <w:left w:val="none" w:sz="0" w:space="0" w:color="auto"/>
        <w:bottom w:val="none" w:sz="0" w:space="0" w:color="auto"/>
        <w:right w:val="none" w:sz="0" w:space="0" w:color="auto"/>
      </w:divBdr>
    </w:div>
    <w:div w:id="720448979">
      <w:bodyDiv w:val="1"/>
      <w:marLeft w:val="0"/>
      <w:marRight w:val="0"/>
      <w:marTop w:val="0"/>
      <w:marBottom w:val="0"/>
      <w:divBdr>
        <w:top w:val="none" w:sz="0" w:space="0" w:color="auto"/>
        <w:left w:val="none" w:sz="0" w:space="0" w:color="auto"/>
        <w:bottom w:val="none" w:sz="0" w:space="0" w:color="auto"/>
        <w:right w:val="none" w:sz="0" w:space="0" w:color="auto"/>
      </w:divBdr>
    </w:div>
    <w:div w:id="738678405">
      <w:bodyDiv w:val="1"/>
      <w:marLeft w:val="0"/>
      <w:marRight w:val="0"/>
      <w:marTop w:val="0"/>
      <w:marBottom w:val="0"/>
      <w:divBdr>
        <w:top w:val="none" w:sz="0" w:space="0" w:color="auto"/>
        <w:left w:val="none" w:sz="0" w:space="0" w:color="auto"/>
        <w:bottom w:val="none" w:sz="0" w:space="0" w:color="auto"/>
        <w:right w:val="none" w:sz="0" w:space="0" w:color="auto"/>
      </w:divBdr>
    </w:div>
    <w:div w:id="767385061">
      <w:bodyDiv w:val="1"/>
      <w:marLeft w:val="0"/>
      <w:marRight w:val="0"/>
      <w:marTop w:val="0"/>
      <w:marBottom w:val="0"/>
      <w:divBdr>
        <w:top w:val="none" w:sz="0" w:space="0" w:color="auto"/>
        <w:left w:val="none" w:sz="0" w:space="0" w:color="auto"/>
        <w:bottom w:val="none" w:sz="0" w:space="0" w:color="auto"/>
        <w:right w:val="none" w:sz="0" w:space="0" w:color="auto"/>
      </w:divBdr>
    </w:div>
    <w:div w:id="768310742">
      <w:bodyDiv w:val="1"/>
      <w:marLeft w:val="0"/>
      <w:marRight w:val="0"/>
      <w:marTop w:val="0"/>
      <w:marBottom w:val="0"/>
      <w:divBdr>
        <w:top w:val="none" w:sz="0" w:space="0" w:color="auto"/>
        <w:left w:val="none" w:sz="0" w:space="0" w:color="auto"/>
        <w:bottom w:val="none" w:sz="0" w:space="0" w:color="auto"/>
        <w:right w:val="none" w:sz="0" w:space="0" w:color="auto"/>
      </w:divBdr>
    </w:div>
    <w:div w:id="768965843">
      <w:bodyDiv w:val="1"/>
      <w:marLeft w:val="0"/>
      <w:marRight w:val="0"/>
      <w:marTop w:val="0"/>
      <w:marBottom w:val="0"/>
      <w:divBdr>
        <w:top w:val="none" w:sz="0" w:space="0" w:color="auto"/>
        <w:left w:val="none" w:sz="0" w:space="0" w:color="auto"/>
        <w:bottom w:val="none" w:sz="0" w:space="0" w:color="auto"/>
        <w:right w:val="none" w:sz="0" w:space="0" w:color="auto"/>
      </w:divBdr>
    </w:div>
    <w:div w:id="868955380">
      <w:bodyDiv w:val="1"/>
      <w:marLeft w:val="0"/>
      <w:marRight w:val="0"/>
      <w:marTop w:val="0"/>
      <w:marBottom w:val="0"/>
      <w:divBdr>
        <w:top w:val="none" w:sz="0" w:space="0" w:color="auto"/>
        <w:left w:val="none" w:sz="0" w:space="0" w:color="auto"/>
        <w:bottom w:val="none" w:sz="0" w:space="0" w:color="auto"/>
        <w:right w:val="none" w:sz="0" w:space="0" w:color="auto"/>
      </w:divBdr>
    </w:div>
    <w:div w:id="875003484">
      <w:bodyDiv w:val="1"/>
      <w:marLeft w:val="0"/>
      <w:marRight w:val="0"/>
      <w:marTop w:val="0"/>
      <w:marBottom w:val="0"/>
      <w:divBdr>
        <w:top w:val="none" w:sz="0" w:space="0" w:color="auto"/>
        <w:left w:val="none" w:sz="0" w:space="0" w:color="auto"/>
        <w:bottom w:val="none" w:sz="0" w:space="0" w:color="auto"/>
        <w:right w:val="none" w:sz="0" w:space="0" w:color="auto"/>
      </w:divBdr>
    </w:div>
    <w:div w:id="877623743">
      <w:bodyDiv w:val="1"/>
      <w:marLeft w:val="0"/>
      <w:marRight w:val="0"/>
      <w:marTop w:val="0"/>
      <w:marBottom w:val="0"/>
      <w:divBdr>
        <w:top w:val="none" w:sz="0" w:space="0" w:color="auto"/>
        <w:left w:val="none" w:sz="0" w:space="0" w:color="auto"/>
        <w:bottom w:val="none" w:sz="0" w:space="0" w:color="auto"/>
        <w:right w:val="none" w:sz="0" w:space="0" w:color="auto"/>
      </w:divBdr>
    </w:div>
    <w:div w:id="920866456">
      <w:bodyDiv w:val="1"/>
      <w:marLeft w:val="0"/>
      <w:marRight w:val="0"/>
      <w:marTop w:val="0"/>
      <w:marBottom w:val="0"/>
      <w:divBdr>
        <w:top w:val="none" w:sz="0" w:space="0" w:color="auto"/>
        <w:left w:val="none" w:sz="0" w:space="0" w:color="auto"/>
        <w:bottom w:val="none" w:sz="0" w:space="0" w:color="auto"/>
        <w:right w:val="none" w:sz="0" w:space="0" w:color="auto"/>
      </w:divBdr>
    </w:div>
    <w:div w:id="950475598">
      <w:bodyDiv w:val="1"/>
      <w:marLeft w:val="0"/>
      <w:marRight w:val="0"/>
      <w:marTop w:val="0"/>
      <w:marBottom w:val="0"/>
      <w:divBdr>
        <w:top w:val="none" w:sz="0" w:space="0" w:color="auto"/>
        <w:left w:val="none" w:sz="0" w:space="0" w:color="auto"/>
        <w:bottom w:val="none" w:sz="0" w:space="0" w:color="auto"/>
        <w:right w:val="none" w:sz="0" w:space="0" w:color="auto"/>
      </w:divBdr>
    </w:div>
    <w:div w:id="980885653">
      <w:bodyDiv w:val="1"/>
      <w:marLeft w:val="0"/>
      <w:marRight w:val="0"/>
      <w:marTop w:val="0"/>
      <w:marBottom w:val="0"/>
      <w:divBdr>
        <w:top w:val="none" w:sz="0" w:space="0" w:color="auto"/>
        <w:left w:val="none" w:sz="0" w:space="0" w:color="auto"/>
        <w:bottom w:val="none" w:sz="0" w:space="0" w:color="auto"/>
        <w:right w:val="none" w:sz="0" w:space="0" w:color="auto"/>
      </w:divBdr>
    </w:div>
    <w:div w:id="1012342376">
      <w:bodyDiv w:val="1"/>
      <w:marLeft w:val="0"/>
      <w:marRight w:val="0"/>
      <w:marTop w:val="0"/>
      <w:marBottom w:val="0"/>
      <w:divBdr>
        <w:top w:val="none" w:sz="0" w:space="0" w:color="auto"/>
        <w:left w:val="none" w:sz="0" w:space="0" w:color="auto"/>
        <w:bottom w:val="none" w:sz="0" w:space="0" w:color="auto"/>
        <w:right w:val="none" w:sz="0" w:space="0" w:color="auto"/>
      </w:divBdr>
    </w:div>
    <w:div w:id="1053845500">
      <w:bodyDiv w:val="1"/>
      <w:marLeft w:val="0"/>
      <w:marRight w:val="0"/>
      <w:marTop w:val="0"/>
      <w:marBottom w:val="0"/>
      <w:divBdr>
        <w:top w:val="none" w:sz="0" w:space="0" w:color="auto"/>
        <w:left w:val="none" w:sz="0" w:space="0" w:color="auto"/>
        <w:bottom w:val="none" w:sz="0" w:space="0" w:color="auto"/>
        <w:right w:val="none" w:sz="0" w:space="0" w:color="auto"/>
      </w:divBdr>
    </w:div>
    <w:div w:id="1092509581">
      <w:bodyDiv w:val="1"/>
      <w:marLeft w:val="0"/>
      <w:marRight w:val="0"/>
      <w:marTop w:val="0"/>
      <w:marBottom w:val="0"/>
      <w:divBdr>
        <w:top w:val="none" w:sz="0" w:space="0" w:color="auto"/>
        <w:left w:val="none" w:sz="0" w:space="0" w:color="auto"/>
        <w:bottom w:val="none" w:sz="0" w:space="0" w:color="auto"/>
        <w:right w:val="none" w:sz="0" w:space="0" w:color="auto"/>
      </w:divBdr>
    </w:div>
    <w:div w:id="1110317351">
      <w:bodyDiv w:val="1"/>
      <w:marLeft w:val="0"/>
      <w:marRight w:val="0"/>
      <w:marTop w:val="0"/>
      <w:marBottom w:val="0"/>
      <w:divBdr>
        <w:top w:val="none" w:sz="0" w:space="0" w:color="auto"/>
        <w:left w:val="none" w:sz="0" w:space="0" w:color="auto"/>
        <w:bottom w:val="none" w:sz="0" w:space="0" w:color="auto"/>
        <w:right w:val="none" w:sz="0" w:space="0" w:color="auto"/>
      </w:divBdr>
    </w:div>
    <w:div w:id="1121992250">
      <w:bodyDiv w:val="1"/>
      <w:marLeft w:val="0"/>
      <w:marRight w:val="0"/>
      <w:marTop w:val="0"/>
      <w:marBottom w:val="0"/>
      <w:divBdr>
        <w:top w:val="none" w:sz="0" w:space="0" w:color="auto"/>
        <w:left w:val="none" w:sz="0" w:space="0" w:color="auto"/>
        <w:bottom w:val="none" w:sz="0" w:space="0" w:color="auto"/>
        <w:right w:val="none" w:sz="0" w:space="0" w:color="auto"/>
      </w:divBdr>
    </w:div>
    <w:div w:id="1148085347">
      <w:bodyDiv w:val="1"/>
      <w:marLeft w:val="0"/>
      <w:marRight w:val="0"/>
      <w:marTop w:val="0"/>
      <w:marBottom w:val="0"/>
      <w:divBdr>
        <w:top w:val="none" w:sz="0" w:space="0" w:color="auto"/>
        <w:left w:val="none" w:sz="0" w:space="0" w:color="auto"/>
        <w:bottom w:val="none" w:sz="0" w:space="0" w:color="auto"/>
        <w:right w:val="none" w:sz="0" w:space="0" w:color="auto"/>
      </w:divBdr>
    </w:div>
    <w:div w:id="1201481573">
      <w:bodyDiv w:val="1"/>
      <w:marLeft w:val="0"/>
      <w:marRight w:val="0"/>
      <w:marTop w:val="0"/>
      <w:marBottom w:val="0"/>
      <w:divBdr>
        <w:top w:val="none" w:sz="0" w:space="0" w:color="auto"/>
        <w:left w:val="none" w:sz="0" w:space="0" w:color="auto"/>
        <w:bottom w:val="none" w:sz="0" w:space="0" w:color="auto"/>
        <w:right w:val="none" w:sz="0" w:space="0" w:color="auto"/>
      </w:divBdr>
    </w:div>
    <w:div w:id="1216968043">
      <w:bodyDiv w:val="1"/>
      <w:marLeft w:val="0"/>
      <w:marRight w:val="0"/>
      <w:marTop w:val="0"/>
      <w:marBottom w:val="0"/>
      <w:divBdr>
        <w:top w:val="none" w:sz="0" w:space="0" w:color="auto"/>
        <w:left w:val="none" w:sz="0" w:space="0" w:color="auto"/>
        <w:bottom w:val="none" w:sz="0" w:space="0" w:color="auto"/>
        <w:right w:val="none" w:sz="0" w:space="0" w:color="auto"/>
      </w:divBdr>
    </w:div>
    <w:div w:id="1217862724">
      <w:bodyDiv w:val="1"/>
      <w:marLeft w:val="0"/>
      <w:marRight w:val="0"/>
      <w:marTop w:val="0"/>
      <w:marBottom w:val="0"/>
      <w:divBdr>
        <w:top w:val="none" w:sz="0" w:space="0" w:color="auto"/>
        <w:left w:val="none" w:sz="0" w:space="0" w:color="auto"/>
        <w:bottom w:val="none" w:sz="0" w:space="0" w:color="auto"/>
        <w:right w:val="none" w:sz="0" w:space="0" w:color="auto"/>
      </w:divBdr>
    </w:div>
    <w:div w:id="1218468703">
      <w:bodyDiv w:val="1"/>
      <w:marLeft w:val="0"/>
      <w:marRight w:val="0"/>
      <w:marTop w:val="0"/>
      <w:marBottom w:val="0"/>
      <w:divBdr>
        <w:top w:val="none" w:sz="0" w:space="0" w:color="auto"/>
        <w:left w:val="none" w:sz="0" w:space="0" w:color="auto"/>
        <w:bottom w:val="none" w:sz="0" w:space="0" w:color="auto"/>
        <w:right w:val="none" w:sz="0" w:space="0" w:color="auto"/>
      </w:divBdr>
    </w:div>
    <w:div w:id="1277642596">
      <w:bodyDiv w:val="1"/>
      <w:marLeft w:val="0"/>
      <w:marRight w:val="0"/>
      <w:marTop w:val="0"/>
      <w:marBottom w:val="0"/>
      <w:divBdr>
        <w:top w:val="none" w:sz="0" w:space="0" w:color="auto"/>
        <w:left w:val="none" w:sz="0" w:space="0" w:color="auto"/>
        <w:bottom w:val="none" w:sz="0" w:space="0" w:color="auto"/>
        <w:right w:val="none" w:sz="0" w:space="0" w:color="auto"/>
      </w:divBdr>
    </w:div>
    <w:div w:id="1311517626">
      <w:bodyDiv w:val="1"/>
      <w:marLeft w:val="0"/>
      <w:marRight w:val="0"/>
      <w:marTop w:val="0"/>
      <w:marBottom w:val="0"/>
      <w:divBdr>
        <w:top w:val="none" w:sz="0" w:space="0" w:color="auto"/>
        <w:left w:val="none" w:sz="0" w:space="0" w:color="auto"/>
        <w:bottom w:val="none" w:sz="0" w:space="0" w:color="auto"/>
        <w:right w:val="none" w:sz="0" w:space="0" w:color="auto"/>
      </w:divBdr>
    </w:div>
    <w:div w:id="1335259320">
      <w:bodyDiv w:val="1"/>
      <w:marLeft w:val="0"/>
      <w:marRight w:val="0"/>
      <w:marTop w:val="0"/>
      <w:marBottom w:val="0"/>
      <w:divBdr>
        <w:top w:val="none" w:sz="0" w:space="0" w:color="auto"/>
        <w:left w:val="none" w:sz="0" w:space="0" w:color="auto"/>
        <w:bottom w:val="none" w:sz="0" w:space="0" w:color="auto"/>
        <w:right w:val="none" w:sz="0" w:space="0" w:color="auto"/>
      </w:divBdr>
    </w:div>
    <w:div w:id="1387874459">
      <w:bodyDiv w:val="1"/>
      <w:marLeft w:val="0"/>
      <w:marRight w:val="0"/>
      <w:marTop w:val="0"/>
      <w:marBottom w:val="0"/>
      <w:divBdr>
        <w:top w:val="none" w:sz="0" w:space="0" w:color="auto"/>
        <w:left w:val="none" w:sz="0" w:space="0" w:color="auto"/>
        <w:bottom w:val="none" w:sz="0" w:space="0" w:color="auto"/>
        <w:right w:val="none" w:sz="0" w:space="0" w:color="auto"/>
      </w:divBdr>
    </w:div>
    <w:div w:id="1425415977">
      <w:bodyDiv w:val="1"/>
      <w:marLeft w:val="0"/>
      <w:marRight w:val="0"/>
      <w:marTop w:val="0"/>
      <w:marBottom w:val="0"/>
      <w:divBdr>
        <w:top w:val="none" w:sz="0" w:space="0" w:color="auto"/>
        <w:left w:val="none" w:sz="0" w:space="0" w:color="auto"/>
        <w:bottom w:val="none" w:sz="0" w:space="0" w:color="auto"/>
        <w:right w:val="none" w:sz="0" w:space="0" w:color="auto"/>
      </w:divBdr>
    </w:div>
    <w:div w:id="1442145359">
      <w:bodyDiv w:val="1"/>
      <w:marLeft w:val="0"/>
      <w:marRight w:val="0"/>
      <w:marTop w:val="0"/>
      <w:marBottom w:val="0"/>
      <w:divBdr>
        <w:top w:val="none" w:sz="0" w:space="0" w:color="auto"/>
        <w:left w:val="none" w:sz="0" w:space="0" w:color="auto"/>
        <w:bottom w:val="none" w:sz="0" w:space="0" w:color="auto"/>
        <w:right w:val="none" w:sz="0" w:space="0" w:color="auto"/>
      </w:divBdr>
    </w:div>
    <w:div w:id="1446080009">
      <w:bodyDiv w:val="1"/>
      <w:marLeft w:val="0"/>
      <w:marRight w:val="0"/>
      <w:marTop w:val="0"/>
      <w:marBottom w:val="0"/>
      <w:divBdr>
        <w:top w:val="none" w:sz="0" w:space="0" w:color="auto"/>
        <w:left w:val="none" w:sz="0" w:space="0" w:color="auto"/>
        <w:bottom w:val="none" w:sz="0" w:space="0" w:color="auto"/>
        <w:right w:val="none" w:sz="0" w:space="0" w:color="auto"/>
      </w:divBdr>
    </w:div>
    <w:div w:id="1452087915">
      <w:bodyDiv w:val="1"/>
      <w:marLeft w:val="0"/>
      <w:marRight w:val="0"/>
      <w:marTop w:val="0"/>
      <w:marBottom w:val="0"/>
      <w:divBdr>
        <w:top w:val="none" w:sz="0" w:space="0" w:color="auto"/>
        <w:left w:val="none" w:sz="0" w:space="0" w:color="auto"/>
        <w:bottom w:val="none" w:sz="0" w:space="0" w:color="auto"/>
        <w:right w:val="none" w:sz="0" w:space="0" w:color="auto"/>
      </w:divBdr>
    </w:div>
    <w:div w:id="1477917899">
      <w:bodyDiv w:val="1"/>
      <w:marLeft w:val="0"/>
      <w:marRight w:val="0"/>
      <w:marTop w:val="0"/>
      <w:marBottom w:val="0"/>
      <w:divBdr>
        <w:top w:val="none" w:sz="0" w:space="0" w:color="auto"/>
        <w:left w:val="none" w:sz="0" w:space="0" w:color="auto"/>
        <w:bottom w:val="none" w:sz="0" w:space="0" w:color="auto"/>
        <w:right w:val="none" w:sz="0" w:space="0" w:color="auto"/>
      </w:divBdr>
      <w:divsChild>
        <w:div w:id="80877832">
          <w:marLeft w:val="0"/>
          <w:marRight w:val="0"/>
          <w:marTop w:val="0"/>
          <w:marBottom w:val="0"/>
          <w:divBdr>
            <w:top w:val="single" w:sz="4" w:space="1" w:color="auto"/>
            <w:left w:val="none" w:sz="0" w:space="0" w:color="auto"/>
            <w:bottom w:val="single" w:sz="4" w:space="1" w:color="auto"/>
            <w:right w:val="none" w:sz="0" w:space="0" w:color="auto"/>
          </w:divBdr>
          <w:divsChild>
            <w:div w:id="8403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8382">
      <w:bodyDiv w:val="1"/>
      <w:marLeft w:val="0"/>
      <w:marRight w:val="0"/>
      <w:marTop w:val="0"/>
      <w:marBottom w:val="0"/>
      <w:divBdr>
        <w:top w:val="none" w:sz="0" w:space="0" w:color="auto"/>
        <w:left w:val="none" w:sz="0" w:space="0" w:color="auto"/>
        <w:bottom w:val="none" w:sz="0" w:space="0" w:color="auto"/>
        <w:right w:val="none" w:sz="0" w:space="0" w:color="auto"/>
      </w:divBdr>
    </w:div>
    <w:div w:id="1491365414">
      <w:bodyDiv w:val="1"/>
      <w:marLeft w:val="0"/>
      <w:marRight w:val="0"/>
      <w:marTop w:val="0"/>
      <w:marBottom w:val="0"/>
      <w:divBdr>
        <w:top w:val="none" w:sz="0" w:space="0" w:color="auto"/>
        <w:left w:val="none" w:sz="0" w:space="0" w:color="auto"/>
        <w:bottom w:val="none" w:sz="0" w:space="0" w:color="auto"/>
        <w:right w:val="none" w:sz="0" w:space="0" w:color="auto"/>
      </w:divBdr>
      <w:divsChild>
        <w:div w:id="325212442">
          <w:marLeft w:val="0"/>
          <w:marRight w:val="0"/>
          <w:marTop w:val="0"/>
          <w:marBottom w:val="0"/>
          <w:divBdr>
            <w:top w:val="single" w:sz="4" w:space="1" w:color="auto"/>
            <w:left w:val="none" w:sz="0" w:space="0" w:color="auto"/>
            <w:bottom w:val="single" w:sz="4" w:space="1" w:color="auto"/>
            <w:right w:val="none" w:sz="0" w:space="0" w:color="auto"/>
          </w:divBdr>
          <w:divsChild>
            <w:div w:id="19137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20113">
      <w:bodyDiv w:val="1"/>
      <w:marLeft w:val="0"/>
      <w:marRight w:val="0"/>
      <w:marTop w:val="0"/>
      <w:marBottom w:val="0"/>
      <w:divBdr>
        <w:top w:val="none" w:sz="0" w:space="0" w:color="auto"/>
        <w:left w:val="none" w:sz="0" w:space="0" w:color="auto"/>
        <w:bottom w:val="none" w:sz="0" w:space="0" w:color="auto"/>
        <w:right w:val="none" w:sz="0" w:space="0" w:color="auto"/>
      </w:divBdr>
    </w:div>
    <w:div w:id="1520969844">
      <w:bodyDiv w:val="1"/>
      <w:marLeft w:val="0"/>
      <w:marRight w:val="0"/>
      <w:marTop w:val="0"/>
      <w:marBottom w:val="0"/>
      <w:divBdr>
        <w:top w:val="none" w:sz="0" w:space="0" w:color="auto"/>
        <w:left w:val="none" w:sz="0" w:space="0" w:color="auto"/>
        <w:bottom w:val="none" w:sz="0" w:space="0" w:color="auto"/>
        <w:right w:val="none" w:sz="0" w:space="0" w:color="auto"/>
      </w:divBdr>
    </w:div>
    <w:div w:id="1550528543">
      <w:bodyDiv w:val="1"/>
      <w:marLeft w:val="0"/>
      <w:marRight w:val="0"/>
      <w:marTop w:val="0"/>
      <w:marBottom w:val="0"/>
      <w:divBdr>
        <w:top w:val="none" w:sz="0" w:space="0" w:color="auto"/>
        <w:left w:val="none" w:sz="0" w:space="0" w:color="auto"/>
        <w:bottom w:val="none" w:sz="0" w:space="0" w:color="auto"/>
        <w:right w:val="none" w:sz="0" w:space="0" w:color="auto"/>
      </w:divBdr>
    </w:div>
    <w:div w:id="1574462604">
      <w:bodyDiv w:val="1"/>
      <w:marLeft w:val="0"/>
      <w:marRight w:val="0"/>
      <w:marTop w:val="0"/>
      <w:marBottom w:val="0"/>
      <w:divBdr>
        <w:top w:val="none" w:sz="0" w:space="0" w:color="auto"/>
        <w:left w:val="none" w:sz="0" w:space="0" w:color="auto"/>
        <w:bottom w:val="none" w:sz="0" w:space="0" w:color="auto"/>
        <w:right w:val="none" w:sz="0" w:space="0" w:color="auto"/>
      </w:divBdr>
    </w:div>
    <w:div w:id="1632202382">
      <w:bodyDiv w:val="1"/>
      <w:marLeft w:val="0"/>
      <w:marRight w:val="0"/>
      <w:marTop w:val="0"/>
      <w:marBottom w:val="0"/>
      <w:divBdr>
        <w:top w:val="none" w:sz="0" w:space="0" w:color="auto"/>
        <w:left w:val="none" w:sz="0" w:space="0" w:color="auto"/>
        <w:bottom w:val="none" w:sz="0" w:space="0" w:color="auto"/>
        <w:right w:val="none" w:sz="0" w:space="0" w:color="auto"/>
      </w:divBdr>
    </w:div>
    <w:div w:id="1632705199">
      <w:bodyDiv w:val="1"/>
      <w:marLeft w:val="0"/>
      <w:marRight w:val="0"/>
      <w:marTop w:val="0"/>
      <w:marBottom w:val="0"/>
      <w:divBdr>
        <w:top w:val="none" w:sz="0" w:space="0" w:color="auto"/>
        <w:left w:val="none" w:sz="0" w:space="0" w:color="auto"/>
        <w:bottom w:val="none" w:sz="0" w:space="0" w:color="auto"/>
        <w:right w:val="none" w:sz="0" w:space="0" w:color="auto"/>
      </w:divBdr>
    </w:div>
    <w:div w:id="1655185467">
      <w:bodyDiv w:val="1"/>
      <w:marLeft w:val="0"/>
      <w:marRight w:val="0"/>
      <w:marTop w:val="0"/>
      <w:marBottom w:val="0"/>
      <w:divBdr>
        <w:top w:val="none" w:sz="0" w:space="0" w:color="auto"/>
        <w:left w:val="none" w:sz="0" w:space="0" w:color="auto"/>
        <w:bottom w:val="none" w:sz="0" w:space="0" w:color="auto"/>
        <w:right w:val="none" w:sz="0" w:space="0" w:color="auto"/>
      </w:divBdr>
    </w:div>
    <w:div w:id="1660576282">
      <w:bodyDiv w:val="1"/>
      <w:marLeft w:val="0"/>
      <w:marRight w:val="0"/>
      <w:marTop w:val="0"/>
      <w:marBottom w:val="0"/>
      <w:divBdr>
        <w:top w:val="none" w:sz="0" w:space="0" w:color="auto"/>
        <w:left w:val="none" w:sz="0" w:space="0" w:color="auto"/>
        <w:bottom w:val="none" w:sz="0" w:space="0" w:color="auto"/>
        <w:right w:val="none" w:sz="0" w:space="0" w:color="auto"/>
      </w:divBdr>
    </w:div>
    <w:div w:id="1665010719">
      <w:bodyDiv w:val="1"/>
      <w:marLeft w:val="0"/>
      <w:marRight w:val="0"/>
      <w:marTop w:val="0"/>
      <w:marBottom w:val="0"/>
      <w:divBdr>
        <w:top w:val="none" w:sz="0" w:space="0" w:color="auto"/>
        <w:left w:val="none" w:sz="0" w:space="0" w:color="auto"/>
        <w:bottom w:val="none" w:sz="0" w:space="0" w:color="auto"/>
        <w:right w:val="none" w:sz="0" w:space="0" w:color="auto"/>
      </w:divBdr>
    </w:div>
    <w:div w:id="1665164747">
      <w:bodyDiv w:val="1"/>
      <w:marLeft w:val="0"/>
      <w:marRight w:val="0"/>
      <w:marTop w:val="0"/>
      <w:marBottom w:val="0"/>
      <w:divBdr>
        <w:top w:val="none" w:sz="0" w:space="0" w:color="auto"/>
        <w:left w:val="none" w:sz="0" w:space="0" w:color="auto"/>
        <w:bottom w:val="none" w:sz="0" w:space="0" w:color="auto"/>
        <w:right w:val="none" w:sz="0" w:space="0" w:color="auto"/>
      </w:divBdr>
    </w:div>
    <w:div w:id="1691492467">
      <w:bodyDiv w:val="1"/>
      <w:marLeft w:val="0"/>
      <w:marRight w:val="0"/>
      <w:marTop w:val="0"/>
      <w:marBottom w:val="0"/>
      <w:divBdr>
        <w:top w:val="none" w:sz="0" w:space="0" w:color="auto"/>
        <w:left w:val="none" w:sz="0" w:space="0" w:color="auto"/>
        <w:bottom w:val="none" w:sz="0" w:space="0" w:color="auto"/>
        <w:right w:val="none" w:sz="0" w:space="0" w:color="auto"/>
      </w:divBdr>
    </w:div>
    <w:div w:id="1702632681">
      <w:bodyDiv w:val="1"/>
      <w:marLeft w:val="0"/>
      <w:marRight w:val="0"/>
      <w:marTop w:val="0"/>
      <w:marBottom w:val="0"/>
      <w:divBdr>
        <w:top w:val="none" w:sz="0" w:space="0" w:color="auto"/>
        <w:left w:val="none" w:sz="0" w:space="0" w:color="auto"/>
        <w:bottom w:val="none" w:sz="0" w:space="0" w:color="auto"/>
        <w:right w:val="none" w:sz="0" w:space="0" w:color="auto"/>
      </w:divBdr>
    </w:div>
    <w:div w:id="1738237850">
      <w:bodyDiv w:val="1"/>
      <w:marLeft w:val="0"/>
      <w:marRight w:val="0"/>
      <w:marTop w:val="0"/>
      <w:marBottom w:val="0"/>
      <w:divBdr>
        <w:top w:val="none" w:sz="0" w:space="0" w:color="auto"/>
        <w:left w:val="none" w:sz="0" w:space="0" w:color="auto"/>
        <w:bottom w:val="none" w:sz="0" w:space="0" w:color="auto"/>
        <w:right w:val="none" w:sz="0" w:space="0" w:color="auto"/>
      </w:divBdr>
    </w:div>
    <w:div w:id="1740864964">
      <w:bodyDiv w:val="1"/>
      <w:marLeft w:val="0"/>
      <w:marRight w:val="0"/>
      <w:marTop w:val="0"/>
      <w:marBottom w:val="0"/>
      <w:divBdr>
        <w:top w:val="none" w:sz="0" w:space="0" w:color="auto"/>
        <w:left w:val="none" w:sz="0" w:space="0" w:color="auto"/>
        <w:bottom w:val="none" w:sz="0" w:space="0" w:color="auto"/>
        <w:right w:val="none" w:sz="0" w:space="0" w:color="auto"/>
      </w:divBdr>
    </w:div>
    <w:div w:id="1748264314">
      <w:bodyDiv w:val="1"/>
      <w:marLeft w:val="0"/>
      <w:marRight w:val="0"/>
      <w:marTop w:val="0"/>
      <w:marBottom w:val="0"/>
      <w:divBdr>
        <w:top w:val="none" w:sz="0" w:space="0" w:color="auto"/>
        <w:left w:val="none" w:sz="0" w:space="0" w:color="auto"/>
        <w:bottom w:val="none" w:sz="0" w:space="0" w:color="auto"/>
        <w:right w:val="none" w:sz="0" w:space="0" w:color="auto"/>
      </w:divBdr>
    </w:div>
    <w:div w:id="1751006151">
      <w:bodyDiv w:val="1"/>
      <w:marLeft w:val="0"/>
      <w:marRight w:val="0"/>
      <w:marTop w:val="0"/>
      <w:marBottom w:val="0"/>
      <w:divBdr>
        <w:top w:val="none" w:sz="0" w:space="0" w:color="auto"/>
        <w:left w:val="none" w:sz="0" w:space="0" w:color="auto"/>
        <w:bottom w:val="none" w:sz="0" w:space="0" w:color="auto"/>
        <w:right w:val="none" w:sz="0" w:space="0" w:color="auto"/>
      </w:divBdr>
    </w:div>
    <w:div w:id="1757238636">
      <w:bodyDiv w:val="1"/>
      <w:marLeft w:val="0"/>
      <w:marRight w:val="0"/>
      <w:marTop w:val="0"/>
      <w:marBottom w:val="0"/>
      <w:divBdr>
        <w:top w:val="none" w:sz="0" w:space="0" w:color="auto"/>
        <w:left w:val="none" w:sz="0" w:space="0" w:color="auto"/>
        <w:bottom w:val="none" w:sz="0" w:space="0" w:color="auto"/>
        <w:right w:val="none" w:sz="0" w:space="0" w:color="auto"/>
      </w:divBdr>
    </w:div>
    <w:div w:id="1764299897">
      <w:bodyDiv w:val="1"/>
      <w:marLeft w:val="0"/>
      <w:marRight w:val="0"/>
      <w:marTop w:val="0"/>
      <w:marBottom w:val="0"/>
      <w:divBdr>
        <w:top w:val="none" w:sz="0" w:space="0" w:color="auto"/>
        <w:left w:val="none" w:sz="0" w:space="0" w:color="auto"/>
        <w:bottom w:val="none" w:sz="0" w:space="0" w:color="auto"/>
        <w:right w:val="none" w:sz="0" w:space="0" w:color="auto"/>
      </w:divBdr>
    </w:div>
    <w:div w:id="1779837767">
      <w:bodyDiv w:val="1"/>
      <w:marLeft w:val="0"/>
      <w:marRight w:val="0"/>
      <w:marTop w:val="0"/>
      <w:marBottom w:val="0"/>
      <w:divBdr>
        <w:top w:val="none" w:sz="0" w:space="0" w:color="auto"/>
        <w:left w:val="none" w:sz="0" w:space="0" w:color="auto"/>
        <w:bottom w:val="none" w:sz="0" w:space="0" w:color="auto"/>
        <w:right w:val="none" w:sz="0" w:space="0" w:color="auto"/>
      </w:divBdr>
    </w:div>
    <w:div w:id="1784299720">
      <w:bodyDiv w:val="1"/>
      <w:marLeft w:val="0"/>
      <w:marRight w:val="0"/>
      <w:marTop w:val="0"/>
      <w:marBottom w:val="0"/>
      <w:divBdr>
        <w:top w:val="none" w:sz="0" w:space="0" w:color="auto"/>
        <w:left w:val="none" w:sz="0" w:space="0" w:color="auto"/>
        <w:bottom w:val="none" w:sz="0" w:space="0" w:color="auto"/>
        <w:right w:val="none" w:sz="0" w:space="0" w:color="auto"/>
      </w:divBdr>
    </w:div>
    <w:div w:id="1784349436">
      <w:bodyDiv w:val="1"/>
      <w:marLeft w:val="0"/>
      <w:marRight w:val="0"/>
      <w:marTop w:val="0"/>
      <w:marBottom w:val="0"/>
      <w:divBdr>
        <w:top w:val="none" w:sz="0" w:space="0" w:color="auto"/>
        <w:left w:val="none" w:sz="0" w:space="0" w:color="auto"/>
        <w:bottom w:val="none" w:sz="0" w:space="0" w:color="auto"/>
        <w:right w:val="none" w:sz="0" w:space="0" w:color="auto"/>
      </w:divBdr>
    </w:div>
    <w:div w:id="1784568606">
      <w:bodyDiv w:val="1"/>
      <w:marLeft w:val="0"/>
      <w:marRight w:val="0"/>
      <w:marTop w:val="0"/>
      <w:marBottom w:val="0"/>
      <w:divBdr>
        <w:top w:val="none" w:sz="0" w:space="0" w:color="auto"/>
        <w:left w:val="none" w:sz="0" w:space="0" w:color="auto"/>
        <w:bottom w:val="none" w:sz="0" w:space="0" w:color="auto"/>
        <w:right w:val="none" w:sz="0" w:space="0" w:color="auto"/>
      </w:divBdr>
    </w:div>
    <w:div w:id="1786196082">
      <w:bodyDiv w:val="1"/>
      <w:marLeft w:val="0"/>
      <w:marRight w:val="0"/>
      <w:marTop w:val="0"/>
      <w:marBottom w:val="0"/>
      <w:divBdr>
        <w:top w:val="none" w:sz="0" w:space="0" w:color="auto"/>
        <w:left w:val="none" w:sz="0" w:space="0" w:color="auto"/>
        <w:bottom w:val="none" w:sz="0" w:space="0" w:color="auto"/>
        <w:right w:val="none" w:sz="0" w:space="0" w:color="auto"/>
      </w:divBdr>
    </w:div>
    <w:div w:id="1791822684">
      <w:bodyDiv w:val="1"/>
      <w:marLeft w:val="0"/>
      <w:marRight w:val="0"/>
      <w:marTop w:val="0"/>
      <w:marBottom w:val="0"/>
      <w:divBdr>
        <w:top w:val="none" w:sz="0" w:space="0" w:color="auto"/>
        <w:left w:val="none" w:sz="0" w:space="0" w:color="auto"/>
        <w:bottom w:val="none" w:sz="0" w:space="0" w:color="auto"/>
        <w:right w:val="none" w:sz="0" w:space="0" w:color="auto"/>
      </w:divBdr>
    </w:div>
    <w:div w:id="1797529442">
      <w:bodyDiv w:val="1"/>
      <w:marLeft w:val="0"/>
      <w:marRight w:val="0"/>
      <w:marTop w:val="0"/>
      <w:marBottom w:val="0"/>
      <w:divBdr>
        <w:top w:val="none" w:sz="0" w:space="0" w:color="auto"/>
        <w:left w:val="none" w:sz="0" w:space="0" w:color="auto"/>
        <w:bottom w:val="none" w:sz="0" w:space="0" w:color="auto"/>
        <w:right w:val="none" w:sz="0" w:space="0" w:color="auto"/>
      </w:divBdr>
    </w:div>
    <w:div w:id="1801341934">
      <w:bodyDiv w:val="1"/>
      <w:marLeft w:val="0"/>
      <w:marRight w:val="0"/>
      <w:marTop w:val="0"/>
      <w:marBottom w:val="0"/>
      <w:divBdr>
        <w:top w:val="none" w:sz="0" w:space="0" w:color="auto"/>
        <w:left w:val="none" w:sz="0" w:space="0" w:color="auto"/>
        <w:bottom w:val="none" w:sz="0" w:space="0" w:color="auto"/>
        <w:right w:val="none" w:sz="0" w:space="0" w:color="auto"/>
      </w:divBdr>
    </w:div>
    <w:div w:id="1806459239">
      <w:bodyDiv w:val="1"/>
      <w:marLeft w:val="0"/>
      <w:marRight w:val="0"/>
      <w:marTop w:val="0"/>
      <w:marBottom w:val="0"/>
      <w:divBdr>
        <w:top w:val="none" w:sz="0" w:space="0" w:color="auto"/>
        <w:left w:val="none" w:sz="0" w:space="0" w:color="auto"/>
        <w:bottom w:val="none" w:sz="0" w:space="0" w:color="auto"/>
        <w:right w:val="none" w:sz="0" w:space="0" w:color="auto"/>
      </w:divBdr>
    </w:div>
    <w:div w:id="1811482450">
      <w:bodyDiv w:val="1"/>
      <w:marLeft w:val="0"/>
      <w:marRight w:val="0"/>
      <w:marTop w:val="0"/>
      <w:marBottom w:val="0"/>
      <w:divBdr>
        <w:top w:val="none" w:sz="0" w:space="0" w:color="auto"/>
        <w:left w:val="none" w:sz="0" w:space="0" w:color="auto"/>
        <w:bottom w:val="none" w:sz="0" w:space="0" w:color="auto"/>
        <w:right w:val="none" w:sz="0" w:space="0" w:color="auto"/>
      </w:divBdr>
    </w:div>
    <w:div w:id="1829323790">
      <w:bodyDiv w:val="1"/>
      <w:marLeft w:val="0"/>
      <w:marRight w:val="0"/>
      <w:marTop w:val="0"/>
      <w:marBottom w:val="0"/>
      <w:divBdr>
        <w:top w:val="none" w:sz="0" w:space="0" w:color="auto"/>
        <w:left w:val="none" w:sz="0" w:space="0" w:color="auto"/>
        <w:bottom w:val="none" w:sz="0" w:space="0" w:color="auto"/>
        <w:right w:val="none" w:sz="0" w:space="0" w:color="auto"/>
      </w:divBdr>
    </w:div>
    <w:div w:id="1847010615">
      <w:bodyDiv w:val="1"/>
      <w:marLeft w:val="0"/>
      <w:marRight w:val="0"/>
      <w:marTop w:val="0"/>
      <w:marBottom w:val="0"/>
      <w:divBdr>
        <w:top w:val="none" w:sz="0" w:space="0" w:color="auto"/>
        <w:left w:val="none" w:sz="0" w:space="0" w:color="auto"/>
        <w:bottom w:val="none" w:sz="0" w:space="0" w:color="auto"/>
        <w:right w:val="none" w:sz="0" w:space="0" w:color="auto"/>
      </w:divBdr>
    </w:div>
    <w:div w:id="1848670618">
      <w:bodyDiv w:val="1"/>
      <w:marLeft w:val="0"/>
      <w:marRight w:val="0"/>
      <w:marTop w:val="0"/>
      <w:marBottom w:val="0"/>
      <w:divBdr>
        <w:top w:val="none" w:sz="0" w:space="0" w:color="auto"/>
        <w:left w:val="none" w:sz="0" w:space="0" w:color="auto"/>
        <w:bottom w:val="none" w:sz="0" w:space="0" w:color="auto"/>
        <w:right w:val="none" w:sz="0" w:space="0" w:color="auto"/>
      </w:divBdr>
    </w:div>
    <w:div w:id="1850947640">
      <w:bodyDiv w:val="1"/>
      <w:marLeft w:val="0"/>
      <w:marRight w:val="0"/>
      <w:marTop w:val="0"/>
      <w:marBottom w:val="0"/>
      <w:divBdr>
        <w:top w:val="none" w:sz="0" w:space="0" w:color="auto"/>
        <w:left w:val="none" w:sz="0" w:space="0" w:color="auto"/>
        <w:bottom w:val="none" w:sz="0" w:space="0" w:color="auto"/>
        <w:right w:val="none" w:sz="0" w:space="0" w:color="auto"/>
      </w:divBdr>
    </w:div>
    <w:div w:id="1882397000">
      <w:bodyDiv w:val="1"/>
      <w:marLeft w:val="0"/>
      <w:marRight w:val="0"/>
      <w:marTop w:val="0"/>
      <w:marBottom w:val="0"/>
      <w:divBdr>
        <w:top w:val="none" w:sz="0" w:space="0" w:color="auto"/>
        <w:left w:val="none" w:sz="0" w:space="0" w:color="auto"/>
        <w:bottom w:val="none" w:sz="0" w:space="0" w:color="auto"/>
        <w:right w:val="none" w:sz="0" w:space="0" w:color="auto"/>
      </w:divBdr>
    </w:div>
    <w:div w:id="1896820404">
      <w:bodyDiv w:val="1"/>
      <w:marLeft w:val="0"/>
      <w:marRight w:val="0"/>
      <w:marTop w:val="0"/>
      <w:marBottom w:val="0"/>
      <w:divBdr>
        <w:top w:val="none" w:sz="0" w:space="0" w:color="auto"/>
        <w:left w:val="none" w:sz="0" w:space="0" w:color="auto"/>
        <w:bottom w:val="none" w:sz="0" w:space="0" w:color="auto"/>
        <w:right w:val="none" w:sz="0" w:space="0" w:color="auto"/>
      </w:divBdr>
    </w:div>
    <w:div w:id="1904751980">
      <w:bodyDiv w:val="1"/>
      <w:marLeft w:val="0"/>
      <w:marRight w:val="0"/>
      <w:marTop w:val="0"/>
      <w:marBottom w:val="0"/>
      <w:divBdr>
        <w:top w:val="none" w:sz="0" w:space="0" w:color="auto"/>
        <w:left w:val="none" w:sz="0" w:space="0" w:color="auto"/>
        <w:bottom w:val="none" w:sz="0" w:space="0" w:color="auto"/>
        <w:right w:val="none" w:sz="0" w:space="0" w:color="auto"/>
      </w:divBdr>
    </w:div>
    <w:div w:id="1917088884">
      <w:bodyDiv w:val="1"/>
      <w:marLeft w:val="0"/>
      <w:marRight w:val="0"/>
      <w:marTop w:val="0"/>
      <w:marBottom w:val="0"/>
      <w:divBdr>
        <w:top w:val="none" w:sz="0" w:space="0" w:color="auto"/>
        <w:left w:val="none" w:sz="0" w:space="0" w:color="auto"/>
        <w:bottom w:val="none" w:sz="0" w:space="0" w:color="auto"/>
        <w:right w:val="none" w:sz="0" w:space="0" w:color="auto"/>
      </w:divBdr>
    </w:div>
    <w:div w:id="1933930978">
      <w:bodyDiv w:val="1"/>
      <w:marLeft w:val="0"/>
      <w:marRight w:val="0"/>
      <w:marTop w:val="0"/>
      <w:marBottom w:val="0"/>
      <w:divBdr>
        <w:top w:val="none" w:sz="0" w:space="0" w:color="auto"/>
        <w:left w:val="none" w:sz="0" w:space="0" w:color="auto"/>
        <w:bottom w:val="none" w:sz="0" w:space="0" w:color="auto"/>
        <w:right w:val="none" w:sz="0" w:space="0" w:color="auto"/>
      </w:divBdr>
    </w:div>
    <w:div w:id="1958023286">
      <w:bodyDiv w:val="1"/>
      <w:marLeft w:val="0"/>
      <w:marRight w:val="0"/>
      <w:marTop w:val="0"/>
      <w:marBottom w:val="0"/>
      <w:divBdr>
        <w:top w:val="none" w:sz="0" w:space="0" w:color="auto"/>
        <w:left w:val="none" w:sz="0" w:space="0" w:color="auto"/>
        <w:bottom w:val="none" w:sz="0" w:space="0" w:color="auto"/>
        <w:right w:val="none" w:sz="0" w:space="0" w:color="auto"/>
      </w:divBdr>
    </w:div>
    <w:div w:id="1967541213">
      <w:bodyDiv w:val="1"/>
      <w:marLeft w:val="0"/>
      <w:marRight w:val="0"/>
      <w:marTop w:val="0"/>
      <w:marBottom w:val="0"/>
      <w:divBdr>
        <w:top w:val="none" w:sz="0" w:space="0" w:color="auto"/>
        <w:left w:val="none" w:sz="0" w:space="0" w:color="auto"/>
        <w:bottom w:val="none" w:sz="0" w:space="0" w:color="auto"/>
        <w:right w:val="none" w:sz="0" w:space="0" w:color="auto"/>
      </w:divBdr>
    </w:div>
    <w:div w:id="2004241458">
      <w:bodyDiv w:val="1"/>
      <w:marLeft w:val="0"/>
      <w:marRight w:val="0"/>
      <w:marTop w:val="0"/>
      <w:marBottom w:val="0"/>
      <w:divBdr>
        <w:top w:val="none" w:sz="0" w:space="0" w:color="auto"/>
        <w:left w:val="none" w:sz="0" w:space="0" w:color="auto"/>
        <w:bottom w:val="none" w:sz="0" w:space="0" w:color="auto"/>
        <w:right w:val="none" w:sz="0" w:space="0" w:color="auto"/>
      </w:divBdr>
    </w:div>
    <w:div w:id="2029938880">
      <w:bodyDiv w:val="1"/>
      <w:marLeft w:val="0"/>
      <w:marRight w:val="0"/>
      <w:marTop w:val="0"/>
      <w:marBottom w:val="0"/>
      <w:divBdr>
        <w:top w:val="none" w:sz="0" w:space="0" w:color="auto"/>
        <w:left w:val="none" w:sz="0" w:space="0" w:color="auto"/>
        <w:bottom w:val="none" w:sz="0" w:space="0" w:color="auto"/>
        <w:right w:val="none" w:sz="0" w:space="0" w:color="auto"/>
      </w:divBdr>
    </w:div>
    <w:div w:id="2031181906">
      <w:bodyDiv w:val="1"/>
      <w:marLeft w:val="0"/>
      <w:marRight w:val="0"/>
      <w:marTop w:val="0"/>
      <w:marBottom w:val="0"/>
      <w:divBdr>
        <w:top w:val="none" w:sz="0" w:space="0" w:color="auto"/>
        <w:left w:val="none" w:sz="0" w:space="0" w:color="auto"/>
        <w:bottom w:val="none" w:sz="0" w:space="0" w:color="auto"/>
        <w:right w:val="none" w:sz="0" w:space="0" w:color="auto"/>
      </w:divBdr>
    </w:div>
    <w:div w:id="2072923035">
      <w:bodyDiv w:val="1"/>
      <w:marLeft w:val="0"/>
      <w:marRight w:val="0"/>
      <w:marTop w:val="0"/>
      <w:marBottom w:val="0"/>
      <w:divBdr>
        <w:top w:val="none" w:sz="0" w:space="0" w:color="auto"/>
        <w:left w:val="none" w:sz="0" w:space="0" w:color="auto"/>
        <w:bottom w:val="none" w:sz="0" w:space="0" w:color="auto"/>
        <w:right w:val="none" w:sz="0" w:space="0" w:color="auto"/>
      </w:divBdr>
    </w:div>
    <w:div w:id="2107722695">
      <w:bodyDiv w:val="1"/>
      <w:marLeft w:val="0"/>
      <w:marRight w:val="0"/>
      <w:marTop w:val="0"/>
      <w:marBottom w:val="0"/>
      <w:divBdr>
        <w:top w:val="none" w:sz="0" w:space="0" w:color="auto"/>
        <w:left w:val="none" w:sz="0" w:space="0" w:color="auto"/>
        <w:bottom w:val="none" w:sz="0" w:space="0" w:color="auto"/>
        <w:right w:val="none" w:sz="0" w:space="0" w:color="auto"/>
      </w:divBdr>
    </w:div>
    <w:div w:id="2144077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041F3-D806-485C-9AC7-B0014FBA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Long</dc:creator>
  <cp:lastModifiedBy>rcline</cp:lastModifiedBy>
  <cp:revision>2</cp:revision>
  <dcterms:created xsi:type="dcterms:W3CDTF">2014-09-09T17:32:00Z</dcterms:created>
  <dcterms:modified xsi:type="dcterms:W3CDTF">2014-09-09T17:32:00Z</dcterms:modified>
</cp:coreProperties>
</file>