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D8746" w14:textId="094E6F46" w:rsidR="00565245" w:rsidRPr="003A4D37" w:rsidRDefault="00033375" w:rsidP="00565245">
      <w:r>
        <w:t xml:space="preserve"> </w:t>
      </w:r>
    </w:p>
    <w:p w14:paraId="676B5C46" w14:textId="77777777" w:rsidR="003A4D37" w:rsidRPr="003A4D37" w:rsidRDefault="003A4D37" w:rsidP="00565245"/>
    <w:p w14:paraId="1CBFCD16" w14:textId="2DBACA0A" w:rsidR="00565245" w:rsidRPr="005E1EEA" w:rsidRDefault="005E1EEA" w:rsidP="005E1EEA">
      <w:pPr>
        <w:pStyle w:val="ListParagraph"/>
        <w:numPr>
          <w:ilvl w:val="0"/>
          <w:numId w:val="3"/>
        </w:numPr>
        <w:rPr>
          <w:b/>
        </w:rPr>
      </w:pPr>
      <w:r>
        <w:rPr>
          <w:b/>
        </w:rPr>
        <w:t xml:space="preserve">01 </w:t>
      </w:r>
      <w:r w:rsidR="00565245" w:rsidRPr="005E1EEA">
        <w:rPr>
          <w:b/>
        </w:rPr>
        <w:t>What is a variable annuity?</w:t>
      </w:r>
    </w:p>
    <w:p w14:paraId="052B8ECD" w14:textId="77777777" w:rsidR="00C161C2" w:rsidRPr="003A4D37" w:rsidRDefault="00C161C2" w:rsidP="00C161C2"/>
    <w:p w14:paraId="7311FEB9" w14:textId="77777777" w:rsidR="00C161C2" w:rsidRPr="003A4D37" w:rsidRDefault="00C161C2" w:rsidP="00C161C2">
      <w:pPr>
        <w:ind w:firstLine="360"/>
      </w:pPr>
      <w:r w:rsidRPr="003A4D37">
        <w:rPr>
          <w:bCs/>
          <w:iCs/>
        </w:rPr>
        <w:t>Variable</w:t>
      </w:r>
      <w:r w:rsidRPr="003A4D37">
        <w:t> annuities differ from fixed-dollar annuities in that the size of the payments is not guaranteed but varies according to investment experience, cost-of-living indices, or similar fluctuating criteria.</w:t>
      </w:r>
    </w:p>
    <w:p w14:paraId="1465FE83" w14:textId="77777777" w:rsidR="00C161C2" w:rsidRPr="003A4D37" w:rsidRDefault="00C161C2" w:rsidP="00C161C2"/>
    <w:p w14:paraId="7714C4CB" w14:textId="77777777" w:rsidR="00D470DF" w:rsidRDefault="00C161C2" w:rsidP="00D470DF">
      <w:pPr>
        <w:ind w:firstLine="360"/>
      </w:pPr>
      <w:r w:rsidRPr="003A4D37">
        <w:t>Obviously, it would not be feasible, or equitable from a revenue standpoint, to apply the regular </w:t>
      </w:r>
      <w:r w:rsidRPr="003A4D37">
        <w:rPr>
          <w:bCs/>
          <w:iCs/>
        </w:rPr>
        <w:t xml:space="preserve">annuity </w:t>
      </w:r>
      <w:r w:rsidRPr="003A4D37">
        <w:t>rules in taxing such payments. If investment experience were very favorable, for example, the application of a constant exclusion ratio would result in a correspondingly increased tax-free portion.</w:t>
      </w:r>
      <w:r w:rsidR="00D470DF">
        <w:t xml:space="preserve">  </w:t>
      </w:r>
    </w:p>
    <w:p w14:paraId="7B8D6270" w14:textId="77777777" w:rsidR="00D470DF" w:rsidRDefault="00D470DF" w:rsidP="00D470DF">
      <w:pPr>
        <w:ind w:firstLine="360"/>
      </w:pPr>
    </w:p>
    <w:p w14:paraId="21F2E81C" w14:textId="26A8C478" w:rsidR="00C161C2" w:rsidRPr="003A4D37" w:rsidRDefault="00D470DF" w:rsidP="00D470DF">
      <w:pPr>
        <w:ind w:firstLine="360"/>
      </w:pPr>
      <w:r>
        <w:t xml:space="preserve">Treasury regulations, therefore, provide special rules for taxing variable annuities.  </w:t>
      </w:r>
      <w:r w:rsidR="00C161C2" w:rsidRPr="003A4D37">
        <w:t>However, for taxable years beginning after December 31, 1983, a </w:t>
      </w:r>
      <w:r w:rsidR="00C161C2" w:rsidRPr="003A4D37">
        <w:rPr>
          <w:bCs/>
          <w:iCs/>
        </w:rPr>
        <w:t>variable</w:t>
      </w:r>
      <w:r w:rsidR="00C161C2" w:rsidRPr="003A4D37">
        <w:t> </w:t>
      </w:r>
      <w:r w:rsidR="00C161C2" w:rsidRPr="003A4D37">
        <w:rPr>
          <w:bCs/>
          <w:iCs/>
        </w:rPr>
        <w:t>annuity</w:t>
      </w:r>
      <w:r w:rsidR="00C161C2" w:rsidRPr="003A4D37">
        <w:t> contract will not be treated as an </w:t>
      </w:r>
      <w:r w:rsidR="00C161C2" w:rsidRPr="003A4D37">
        <w:rPr>
          <w:bCs/>
          <w:iCs/>
        </w:rPr>
        <w:t>annuity</w:t>
      </w:r>
      <w:r>
        <w:rPr>
          <w:bCs/>
          <w:iCs/>
        </w:rPr>
        <w:t xml:space="preserve"> </w:t>
      </w:r>
      <w:r w:rsidR="00C161C2" w:rsidRPr="003A4D37">
        <w:t>and taxed under these rules </w:t>
      </w:r>
      <w:r w:rsidR="00C161C2" w:rsidRPr="003A4D37">
        <w:rPr>
          <w:iCs/>
        </w:rPr>
        <w:t>unless </w:t>
      </w:r>
      <w:r w:rsidR="00C161C2" w:rsidRPr="003A4D37">
        <w:t>the underlying investments of the segregated asset acco</w:t>
      </w:r>
      <w:r w:rsidR="00033375">
        <w:t xml:space="preserve">unt are </w:t>
      </w:r>
      <w:r>
        <w:t>adequately diversified.</w:t>
      </w:r>
      <w:r>
        <w:rPr>
          <w:rStyle w:val="FootnoteReference"/>
        </w:rPr>
        <w:footnoteReference w:id="1"/>
      </w:r>
      <w:r w:rsidR="00C161C2" w:rsidRPr="003A4D37">
        <w:t xml:space="preserve"> </w:t>
      </w:r>
    </w:p>
    <w:p w14:paraId="7EBF4A31" w14:textId="77777777" w:rsidR="00C161C2" w:rsidRPr="003A4D37" w:rsidRDefault="00C161C2" w:rsidP="00C161C2"/>
    <w:p w14:paraId="3385E6AB" w14:textId="77777777" w:rsidR="00033375" w:rsidRDefault="00C161C2" w:rsidP="00C161C2">
      <w:pPr>
        <w:ind w:firstLine="360"/>
      </w:pPr>
      <w:r w:rsidRPr="003A4D37">
        <w:t>In general, these rules provide that the amount which can be excluded from gross income in a taxable year is the portion of the investment in the contract which is allocable to that year. This is determined by dividing the investment in the contract by a multiple taken from the </w:t>
      </w:r>
      <w:r w:rsidRPr="003A4D37">
        <w:rPr>
          <w:bCs/>
          <w:iCs/>
        </w:rPr>
        <w:t>annuity</w:t>
      </w:r>
      <w:r w:rsidRPr="003A4D37">
        <w:t> tables which represents the anticipated number of years over which the </w:t>
      </w:r>
      <w:r w:rsidRPr="003A4D37">
        <w:rPr>
          <w:bCs/>
          <w:iCs/>
        </w:rPr>
        <w:t>annuity</w:t>
      </w:r>
      <w:r w:rsidRPr="003A4D37">
        <w:t> will be payable.</w:t>
      </w:r>
      <w:r w:rsidR="00D470DF">
        <w:rPr>
          <w:rStyle w:val="FootnoteReference"/>
        </w:rPr>
        <w:footnoteReference w:id="2"/>
      </w:r>
      <w:r w:rsidRPr="003A4D37">
        <w:t xml:space="preserve"> </w:t>
      </w:r>
      <w:r w:rsidR="00D470DF">
        <w:t xml:space="preserve"> </w:t>
      </w:r>
      <w:r w:rsidRPr="003A4D37">
        <w:t>All amounts received in excess of this yearly exclusion are fully taxable. The amount so determined may be excluded from gross income each year for as long as the payments are received if the </w:t>
      </w:r>
      <w:r w:rsidRPr="003A4D37">
        <w:rPr>
          <w:bCs/>
          <w:iCs/>
        </w:rPr>
        <w:t xml:space="preserve">annuity </w:t>
      </w:r>
      <w:r w:rsidRPr="003A4D37">
        <w:t xml:space="preserve">starting date was before January 1, 1987 (even after the annuitant has outlived his life expectancy and recovered his cost tax-free). </w:t>
      </w:r>
    </w:p>
    <w:p w14:paraId="1439FAC3" w14:textId="77777777" w:rsidR="00033375" w:rsidRDefault="00033375" w:rsidP="00C161C2">
      <w:pPr>
        <w:ind w:firstLine="360"/>
      </w:pPr>
    </w:p>
    <w:p w14:paraId="0B8E39B5" w14:textId="32EEF501" w:rsidR="00C161C2" w:rsidRPr="003A4D37" w:rsidRDefault="00C161C2" w:rsidP="00033375">
      <w:pPr>
        <w:ind w:firstLine="360"/>
      </w:pPr>
      <w:r w:rsidRPr="003A4D37">
        <w:t>In the case of an </w:t>
      </w:r>
      <w:r w:rsidRPr="003A4D37">
        <w:rPr>
          <w:bCs/>
          <w:iCs/>
        </w:rPr>
        <w:t>annuity</w:t>
      </w:r>
      <w:r w:rsidRPr="003A4D37">
        <w:t> contract with a starting date after 1986, the amount determined may be excluded from gross income only until the investment in the contract is recovered.</w:t>
      </w:r>
      <w:r w:rsidR="00D470DF">
        <w:rPr>
          <w:rStyle w:val="FootnoteReference"/>
        </w:rPr>
        <w:footnoteReference w:id="3"/>
      </w:r>
      <w:r w:rsidRPr="003A4D37">
        <w:t xml:space="preserve"> </w:t>
      </w:r>
    </w:p>
    <w:p w14:paraId="6A488AA0" w14:textId="77777777" w:rsidR="00C161C2" w:rsidRPr="003A4D37" w:rsidRDefault="00C161C2" w:rsidP="00C161C2"/>
    <w:p w14:paraId="7BFB0CF7" w14:textId="77777777" w:rsidR="00565245" w:rsidRPr="003A4D37" w:rsidRDefault="00565245" w:rsidP="00565245">
      <w:pPr>
        <w:ind w:left="720"/>
      </w:pPr>
    </w:p>
    <w:p w14:paraId="692D4EB2" w14:textId="10CC8AA5" w:rsidR="00565245" w:rsidRPr="00D470DF" w:rsidRDefault="005E1EEA" w:rsidP="00A06488">
      <w:pPr>
        <w:ind w:left="720"/>
        <w:rPr>
          <w:b/>
        </w:rPr>
      </w:pPr>
      <w:proofErr w:type="gramStart"/>
      <w:r>
        <w:rPr>
          <w:b/>
        </w:rPr>
        <w:t xml:space="preserve">408.01  </w:t>
      </w:r>
      <w:r w:rsidR="00565245" w:rsidRPr="00D470DF">
        <w:rPr>
          <w:b/>
        </w:rPr>
        <w:t>What</w:t>
      </w:r>
      <w:proofErr w:type="gramEnd"/>
      <w:r w:rsidR="00565245" w:rsidRPr="00D470DF">
        <w:rPr>
          <w:b/>
        </w:rPr>
        <w:t xml:space="preserve"> is a fixed annuity?</w:t>
      </w:r>
    </w:p>
    <w:p w14:paraId="3B3D8B20" w14:textId="77777777" w:rsidR="00D470DF" w:rsidRDefault="00D470DF" w:rsidP="00D470DF"/>
    <w:p w14:paraId="363343B3" w14:textId="62EEC831" w:rsidR="00D470DF" w:rsidRPr="00D470DF" w:rsidRDefault="00033375" w:rsidP="00D470DF">
      <w:pPr>
        <w:ind w:firstLine="360"/>
      </w:pPr>
      <w:r>
        <w:t>A fixed annuity is one that is issued under a contract where</w:t>
      </w:r>
      <w:r w:rsidR="00D470DF" w:rsidRPr="00D470DF">
        <w:t xml:space="preserve"> the insurance company fixes the rate, for a specified period, at which income will accrue to the account. The fixed rate is determined by the company </w:t>
      </w:r>
      <w:r>
        <w:t xml:space="preserve">and is </w:t>
      </w:r>
      <w:r w:rsidR="00D470DF" w:rsidRPr="00D470DF">
        <w:t xml:space="preserve">based upon its projection of current investment market conditions. (Any variance between the fixed rate and what the insurance company actually earns for the year is absorbed </w:t>
      </w:r>
      <w:proofErr w:type="gramStart"/>
      <w:r w:rsidR="00D470DF" w:rsidRPr="00D470DF">
        <w:lastRenderedPageBreak/>
        <w:t>by</w:t>
      </w:r>
      <w:proofErr w:type="gramEnd"/>
      <w:r w:rsidR="00D470DF" w:rsidRPr="00D470DF">
        <w:t xml:space="preserve"> the company.) Most contracts include a guaranteed minimum rate, below which the fixed annual return may not go.</w:t>
      </w:r>
    </w:p>
    <w:p w14:paraId="0A310352" w14:textId="77777777" w:rsidR="00565245" w:rsidRPr="003A4D37" w:rsidRDefault="00565245" w:rsidP="00565245"/>
    <w:p w14:paraId="15590F8C" w14:textId="11EF8947" w:rsidR="00565245" w:rsidRPr="001D7D92" w:rsidRDefault="005E1EEA" w:rsidP="00A06488">
      <w:pPr>
        <w:ind w:left="720"/>
        <w:rPr>
          <w:b/>
        </w:rPr>
      </w:pPr>
      <w:proofErr w:type="gramStart"/>
      <w:r>
        <w:rPr>
          <w:b/>
        </w:rPr>
        <w:t xml:space="preserve">487.01  </w:t>
      </w:r>
      <w:r w:rsidR="00565245" w:rsidRPr="001D7D92">
        <w:rPr>
          <w:b/>
        </w:rPr>
        <w:t>What</w:t>
      </w:r>
      <w:proofErr w:type="gramEnd"/>
      <w:r w:rsidR="00565245" w:rsidRPr="001D7D92">
        <w:rPr>
          <w:b/>
        </w:rPr>
        <w:t xml:space="preserve"> is a secondary market annuity?</w:t>
      </w:r>
    </w:p>
    <w:p w14:paraId="14B62E87" w14:textId="77777777" w:rsidR="00C161C2" w:rsidRPr="003A4D37" w:rsidRDefault="00C161C2" w:rsidP="00C161C2"/>
    <w:p w14:paraId="2C239B27" w14:textId="7B92D9EB" w:rsidR="00C161C2" w:rsidRPr="003A4D37" w:rsidRDefault="00C161C2" w:rsidP="00C161C2">
      <w:pPr>
        <w:ind w:firstLine="360"/>
      </w:pPr>
      <w:r w:rsidRPr="003A4D37">
        <w:t>Most </w:t>
      </w:r>
      <w:r w:rsidRPr="003A4D37">
        <w:rPr>
          <w:bCs/>
          <w:iCs/>
        </w:rPr>
        <w:t>secondary</w:t>
      </w:r>
      <w:r w:rsidRPr="003A4D37">
        <w:t> </w:t>
      </w:r>
      <w:r w:rsidRPr="003A4D37">
        <w:rPr>
          <w:bCs/>
          <w:iCs/>
        </w:rPr>
        <w:t>market</w:t>
      </w:r>
      <w:r w:rsidRPr="003A4D37">
        <w:t> annuities (also known as “factored” structured settlements) are annuities that were originally issued pursuant to structured settlements, meaning that the defendant in a lawsuit (often a personal injury suit) is found liable and, rather than pay damages to the plaintiff up front, reaches an agreement with the court so that the plaintiff receives the right t</w:t>
      </w:r>
      <w:r w:rsidR="00033375">
        <w:t xml:space="preserve">o receive </w:t>
      </w:r>
      <w:r w:rsidRPr="003A4D37">
        <w:t>guaranteed </w:t>
      </w:r>
      <w:r w:rsidRPr="003A4D37">
        <w:rPr>
          <w:bCs/>
          <w:iCs/>
        </w:rPr>
        <w:t>annuity</w:t>
      </w:r>
      <w:r w:rsidRPr="003A4D37">
        <w:t xml:space="preserve"> payments over time. In many cases, however, the plaintiff </w:t>
      </w:r>
      <w:r w:rsidR="00033375">
        <w:t>needs</w:t>
      </w:r>
      <w:r w:rsidRPr="003A4D37">
        <w:t xml:space="preserve"> the funds immediately and, through a court-approved process, transfers the right to guaranteed payments under the </w:t>
      </w:r>
      <w:r w:rsidRPr="003A4D37">
        <w:rPr>
          <w:bCs/>
          <w:iCs/>
        </w:rPr>
        <w:t>annuity</w:t>
      </w:r>
      <w:r w:rsidRPr="003A4D37">
        <w:t> to a third-party buyer for a lump sum.</w:t>
      </w:r>
    </w:p>
    <w:p w14:paraId="6D040427" w14:textId="77777777" w:rsidR="00C161C2" w:rsidRPr="003A4D37" w:rsidRDefault="00C161C2" w:rsidP="00C161C2">
      <w:pPr>
        <w:ind w:firstLine="360"/>
      </w:pPr>
    </w:p>
    <w:p w14:paraId="4E2035F7" w14:textId="354216A3" w:rsidR="00C161C2" w:rsidRPr="003A4D37" w:rsidRDefault="00C161C2" w:rsidP="00C161C2">
      <w:pPr>
        <w:ind w:firstLine="360"/>
      </w:pPr>
      <w:r w:rsidRPr="003A4D37">
        <w:t>The court approval process is necessary because, while the plaintiff has received the right to </w:t>
      </w:r>
      <w:r w:rsidRPr="003A4D37">
        <w:rPr>
          <w:iCs/>
        </w:rPr>
        <w:t xml:space="preserve">income </w:t>
      </w:r>
      <w:r w:rsidRPr="003A4D37">
        <w:t>under the </w:t>
      </w:r>
      <w:r w:rsidRPr="003A4D37">
        <w:rPr>
          <w:bCs/>
          <w:iCs/>
        </w:rPr>
        <w:t>annuity</w:t>
      </w:r>
      <w:r w:rsidRPr="003A4D37">
        <w:t>,</w:t>
      </w:r>
      <w:r w:rsidR="00033375">
        <w:t xml:space="preserve"> the defendant technically owns </w:t>
      </w:r>
      <w:r w:rsidRPr="003A4D37">
        <w:t>the </w:t>
      </w:r>
      <w:r w:rsidRPr="003A4D37">
        <w:rPr>
          <w:bCs/>
          <w:iCs/>
        </w:rPr>
        <w:t>annuity</w:t>
      </w:r>
      <w:r w:rsidRPr="003A4D37">
        <w:t xml:space="preserve"> contract. Through this process, the parties enter into an assignment agreement that is presented to the court, which will approve or deny the transfer based </w:t>
      </w:r>
      <w:r w:rsidR="00033375">
        <w:t>up</w:t>
      </w:r>
      <w:r w:rsidRPr="003A4D37">
        <w:t>on whether it is in the transferring plaintiff’s best interests.</w:t>
      </w:r>
    </w:p>
    <w:p w14:paraId="44C330DA" w14:textId="77777777" w:rsidR="00C161C2" w:rsidRPr="003A4D37" w:rsidRDefault="00C161C2" w:rsidP="00C161C2"/>
    <w:p w14:paraId="0F35F929" w14:textId="436B2C2E" w:rsidR="00C161C2" w:rsidRPr="003A4D37" w:rsidRDefault="00C161C2" w:rsidP="00C161C2">
      <w:pPr>
        <w:ind w:firstLine="360"/>
      </w:pPr>
      <w:r w:rsidRPr="003A4D37">
        <w:t>It is important to note that failure to comply with this court approval process can result in imposition of a tax equal to 40 percent of the discount at which the product is sold.</w:t>
      </w:r>
      <w:r w:rsidR="00033375">
        <w:rPr>
          <w:rStyle w:val="FootnoteReference"/>
        </w:rPr>
        <w:footnoteReference w:id="4"/>
      </w:r>
      <w:r w:rsidRPr="003A4D37">
        <w:t xml:space="preserve"> In recent years, however, nearly all states have developed a standardized process that has made obtaining court approval much more simple.</w:t>
      </w:r>
    </w:p>
    <w:p w14:paraId="24A444D5" w14:textId="77777777" w:rsidR="00C161C2" w:rsidRPr="003A4D37" w:rsidRDefault="00C161C2" w:rsidP="00C161C2">
      <w:pPr>
        <w:rPr>
          <w:bCs/>
        </w:rPr>
      </w:pPr>
    </w:p>
    <w:p w14:paraId="4CF155ED" w14:textId="77777777" w:rsidR="00C161C2" w:rsidRPr="003A4D37" w:rsidRDefault="00C161C2" w:rsidP="00C161C2">
      <w:pPr>
        <w:ind w:firstLine="360"/>
      </w:pPr>
      <w:r w:rsidRPr="003A4D37">
        <w:t>A </w:t>
      </w:r>
      <w:r w:rsidRPr="003A4D37">
        <w:rPr>
          <w:bCs/>
          <w:iCs/>
        </w:rPr>
        <w:t>secondary</w:t>
      </w:r>
      <w:r w:rsidRPr="003A4D37">
        <w:t> </w:t>
      </w:r>
      <w:r w:rsidRPr="003A4D37">
        <w:rPr>
          <w:bCs/>
          <w:iCs/>
        </w:rPr>
        <w:t>market</w:t>
      </w:r>
      <w:r w:rsidRPr="003A4D37">
        <w:t> </w:t>
      </w:r>
      <w:r w:rsidRPr="003A4D37">
        <w:rPr>
          <w:bCs/>
          <w:iCs/>
        </w:rPr>
        <w:t>annuity</w:t>
      </w:r>
      <w:r w:rsidRPr="003A4D37">
        <w:t> is often able to provide the client with a higher than average interest rate because the selling plaintiff typically must sell his income rights at a discount. The interest paid out under the contract, however, is governed by the original contract terms, which may provide for a rate that is much higher than today’s </w:t>
      </w:r>
      <w:r w:rsidRPr="003A4D37">
        <w:rPr>
          <w:bCs/>
          <w:iCs/>
        </w:rPr>
        <w:t>market</w:t>
      </w:r>
      <w:r w:rsidRPr="003A4D37">
        <w:t> averages.</w:t>
      </w:r>
    </w:p>
    <w:p w14:paraId="617A47ED" w14:textId="77777777" w:rsidR="00C161C2" w:rsidRPr="003A4D37" w:rsidRDefault="00C161C2" w:rsidP="00C161C2"/>
    <w:p w14:paraId="2B263F58" w14:textId="77777777" w:rsidR="00C161C2" w:rsidRPr="003A4D37" w:rsidRDefault="00C161C2" w:rsidP="00C161C2">
      <w:pPr>
        <w:ind w:firstLine="360"/>
      </w:pPr>
      <w:r w:rsidRPr="003A4D37">
        <w:t xml:space="preserve">Because interest rates on guaranteed financial products have remained relatively low despite recent </w:t>
      </w:r>
      <w:r w:rsidRPr="003A4D37">
        <w:rPr>
          <w:bCs/>
          <w:iCs/>
        </w:rPr>
        <w:t>market</w:t>
      </w:r>
      <w:r w:rsidRPr="003A4D37">
        <w:t> success, these products, which are typically issued by large and well-known insurance companies, are often attractive to clients who are otherwise wary of locking themselves into a low interest rate.</w:t>
      </w:r>
    </w:p>
    <w:p w14:paraId="7558CA30" w14:textId="77777777" w:rsidR="00C161C2" w:rsidRPr="003A4D37" w:rsidRDefault="00C161C2" w:rsidP="00C161C2"/>
    <w:p w14:paraId="6A518E9E" w14:textId="7E910B09" w:rsidR="00C161C2" w:rsidRPr="003A4D37" w:rsidRDefault="00C161C2" w:rsidP="00C161C2">
      <w:pPr>
        <w:ind w:firstLine="360"/>
      </w:pPr>
      <w:r w:rsidRPr="003A4D37">
        <w:t>Further, </w:t>
      </w:r>
      <w:r w:rsidRPr="003A4D37">
        <w:rPr>
          <w:bCs/>
          <w:iCs/>
        </w:rPr>
        <w:t>secondary</w:t>
      </w:r>
      <w:r w:rsidRPr="003A4D37">
        <w:t> </w:t>
      </w:r>
      <w:r w:rsidRPr="003A4D37">
        <w:rPr>
          <w:bCs/>
          <w:iCs/>
        </w:rPr>
        <w:t>market</w:t>
      </w:r>
      <w:r w:rsidRPr="003A4D37">
        <w:t> annuities have only recently become widely available to individual clients—prior to the financial crisis</w:t>
      </w:r>
      <w:r w:rsidR="00D96153">
        <w:t xml:space="preserve"> of 2008 and 2009</w:t>
      </w:r>
      <w:r w:rsidRPr="003A4D37">
        <w:t xml:space="preserve">, these products were most commonly purchased by large, institutional investors. </w:t>
      </w:r>
      <w:r w:rsidR="00D96153">
        <w:t>New</w:t>
      </w:r>
      <w:r w:rsidRPr="003A4D37">
        <w:t xml:space="preserve"> economic conditions, coupled with the newly streamlined court approval process, have opened the door for everyday </w:t>
      </w:r>
      <w:r w:rsidR="00D96153">
        <w:t>individuals</w:t>
      </w:r>
      <w:r w:rsidRPr="003A4D37">
        <w:t xml:space="preserve"> to invest in the </w:t>
      </w:r>
      <w:r w:rsidRPr="003A4D37">
        <w:rPr>
          <w:bCs/>
          <w:iCs/>
        </w:rPr>
        <w:t>secondary</w:t>
      </w:r>
      <w:r w:rsidRPr="003A4D37">
        <w:t> </w:t>
      </w:r>
      <w:r w:rsidRPr="003A4D37">
        <w:rPr>
          <w:bCs/>
          <w:iCs/>
        </w:rPr>
        <w:t>market</w:t>
      </w:r>
      <w:r w:rsidRPr="003A4D37">
        <w:t> for annuities.</w:t>
      </w:r>
    </w:p>
    <w:p w14:paraId="55D934EA" w14:textId="77777777" w:rsidR="00C161C2" w:rsidRPr="003A4D37" w:rsidRDefault="00C161C2" w:rsidP="00C161C2"/>
    <w:p w14:paraId="08CFD5F8" w14:textId="77777777" w:rsidR="00565245" w:rsidRPr="003A4D37" w:rsidRDefault="00565245" w:rsidP="00565245"/>
    <w:p w14:paraId="28504038" w14:textId="2D721826" w:rsidR="00565245" w:rsidRPr="001D7D92" w:rsidRDefault="005E1EEA" w:rsidP="00A06488">
      <w:pPr>
        <w:ind w:left="720"/>
        <w:rPr>
          <w:b/>
        </w:rPr>
      </w:pPr>
      <w:proofErr w:type="gramStart"/>
      <w:r>
        <w:rPr>
          <w:b/>
        </w:rPr>
        <w:lastRenderedPageBreak/>
        <w:t xml:space="preserve">408.02  </w:t>
      </w:r>
      <w:r w:rsidR="00565245" w:rsidRPr="001D7D92">
        <w:rPr>
          <w:b/>
        </w:rPr>
        <w:t>What</w:t>
      </w:r>
      <w:proofErr w:type="gramEnd"/>
      <w:r w:rsidR="00565245" w:rsidRPr="001D7D92">
        <w:rPr>
          <w:b/>
        </w:rPr>
        <w:t xml:space="preserve"> is a market value adjusted annuity?</w:t>
      </w:r>
    </w:p>
    <w:p w14:paraId="29BC75DE" w14:textId="77777777" w:rsidR="003A4D37" w:rsidRPr="003A4D37" w:rsidRDefault="003A4D37" w:rsidP="003A4D37"/>
    <w:p w14:paraId="3E02911A" w14:textId="77777777" w:rsidR="003A4D37" w:rsidRPr="003A4D37" w:rsidRDefault="003A4D37" w:rsidP="003A4D37">
      <w:pPr>
        <w:ind w:firstLine="360"/>
      </w:pPr>
      <w:r w:rsidRPr="003A4D37">
        <w:t>A market value adjusted annuity (MVA) is an annuity issued pursuant to a contract that allows the carrier to adjust the product’s cash surrender </w:t>
      </w:r>
      <w:r w:rsidRPr="003A4D37">
        <w:rPr>
          <w:bCs/>
          <w:iCs/>
        </w:rPr>
        <w:t>value</w:t>
      </w:r>
      <w:r w:rsidRPr="003A4D37">
        <w:t> upward or downward if the client chooses to surrender the product before maturity. The adjustment is calculated based on the difference between the interest rate guaranteed under the particular contract and the then-prevailing </w:t>
      </w:r>
      <w:r w:rsidRPr="003A4D37">
        <w:rPr>
          <w:bCs/>
          <w:iCs/>
        </w:rPr>
        <w:t>market</w:t>
      </w:r>
      <w:r w:rsidRPr="003A4D37">
        <w:t> interest rates.</w:t>
      </w:r>
    </w:p>
    <w:p w14:paraId="038568EB" w14:textId="77777777" w:rsidR="003A4D37" w:rsidRPr="003A4D37" w:rsidRDefault="003A4D37" w:rsidP="003A4D37">
      <w:pPr>
        <w:ind w:firstLine="360"/>
      </w:pPr>
    </w:p>
    <w:p w14:paraId="3016A403" w14:textId="77777777" w:rsidR="003A4D37" w:rsidRDefault="003A4D37" w:rsidP="003A4D37">
      <w:pPr>
        <w:ind w:firstLine="360"/>
      </w:pPr>
      <w:r w:rsidRPr="003A4D37">
        <w:t>Generally, if the prevailing interest rate at the time of surrender is higher than the contract’s guaranteed rate, the client’s cash surrender </w:t>
      </w:r>
      <w:r w:rsidRPr="003A4D37">
        <w:rPr>
          <w:bCs/>
          <w:iCs/>
        </w:rPr>
        <w:t>value</w:t>
      </w:r>
      <w:r w:rsidRPr="003A4D37">
        <w:t> will be </w:t>
      </w:r>
      <w:r w:rsidRPr="003A4D37">
        <w:rPr>
          <w:bCs/>
          <w:iCs/>
        </w:rPr>
        <w:t>adjusted</w:t>
      </w:r>
      <w:r w:rsidRPr="003A4D37">
        <w:t> downward. On the other hand, if rates move lower than the rate guaranteed under the contract, the client can receive a surrender </w:t>
      </w:r>
      <w:r w:rsidRPr="003A4D37">
        <w:rPr>
          <w:bCs/>
          <w:iCs/>
        </w:rPr>
        <w:t>value</w:t>
      </w:r>
      <w:r w:rsidRPr="003A4D37">
        <w:t> that may be more than the original investment—the surrender </w:t>
      </w:r>
      <w:r w:rsidRPr="003A4D37">
        <w:rPr>
          <w:bCs/>
          <w:iCs/>
        </w:rPr>
        <w:t>value</w:t>
      </w:r>
      <w:r w:rsidRPr="003A4D37">
        <w:t> will be increased to reflect the higher </w:t>
      </w:r>
      <w:r w:rsidRPr="003A4D37">
        <w:rPr>
          <w:bCs/>
          <w:iCs/>
        </w:rPr>
        <w:t>annuity</w:t>
      </w:r>
      <w:r>
        <w:rPr>
          <w:bCs/>
          <w:iCs/>
        </w:rPr>
        <w:t xml:space="preserve"> </w:t>
      </w:r>
      <w:r w:rsidRPr="003A4D37">
        <w:t>rate.</w:t>
      </w:r>
    </w:p>
    <w:p w14:paraId="6F9EDA1C" w14:textId="77777777" w:rsidR="003A4D37" w:rsidRPr="003A4D37" w:rsidRDefault="003A4D37" w:rsidP="003A4D37">
      <w:pPr>
        <w:ind w:firstLine="360"/>
      </w:pPr>
    </w:p>
    <w:p w14:paraId="3C2247E7" w14:textId="77777777" w:rsidR="003A4D37" w:rsidRPr="003A4D37" w:rsidRDefault="003A4D37" w:rsidP="003A4D37">
      <w:pPr>
        <w:ind w:firstLine="360"/>
      </w:pPr>
      <w:r w:rsidRPr="003A4D37">
        <w:t>As with other fixed annuities, if a client purchases a fixed MVA </w:t>
      </w:r>
      <w:r w:rsidRPr="003A4D37">
        <w:rPr>
          <w:bCs/>
          <w:iCs/>
        </w:rPr>
        <w:t>annuity</w:t>
      </w:r>
      <w:r w:rsidRPr="003A4D37">
        <w:t> and holds it for the duration of the product’s guarantee period—which may be as short as three years or upwards of fifteen years—the product simply pays the guaranteed rate.</w:t>
      </w:r>
    </w:p>
    <w:p w14:paraId="0A2D39C5" w14:textId="77777777" w:rsidR="003A4D37" w:rsidRPr="003A4D37" w:rsidRDefault="003A4D37" w:rsidP="003A4D37"/>
    <w:p w14:paraId="040DEDAC" w14:textId="04CBF42E" w:rsidR="003A4D37" w:rsidRPr="003A4D37" w:rsidRDefault="003A4D37" w:rsidP="003A4D37">
      <w:pPr>
        <w:ind w:firstLine="360"/>
      </w:pPr>
      <w:r w:rsidRPr="003A4D37">
        <w:t>In recent years, the prevailing interest rates have been so low that </w:t>
      </w:r>
      <w:r w:rsidRPr="003A4D37">
        <w:rPr>
          <w:bCs/>
          <w:iCs/>
        </w:rPr>
        <w:t>annuity</w:t>
      </w:r>
      <w:r w:rsidRPr="003A4D37">
        <w:t> carriers have only been able to offer products with similarly low guaranteed interest rates, so there was very little</w:t>
      </w:r>
      <w:r w:rsidR="00D96153">
        <w:t xml:space="preserve"> difference to be realized with </w:t>
      </w:r>
      <w:r w:rsidRPr="003A4D37">
        <w:t>MVA </w:t>
      </w:r>
      <w:r w:rsidR="00D96153">
        <w:rPr>
          <w:bCs/>
          <w:iCs/>
        </w:rPr>
        <w:t>annuities</w:t>
      </w:r>
      <w:r w:rsidRPr="003A4D37">
        <w:t>. Because interest rates on some investments—including many of those commonly held by the carriers themselves—have begun to creep higher, carriers have likewise started to offer higher rates on certain products.</w:t>
      </w:r>
    </w:p>
    <w:p w14:paraId="25638E51" w14:textId="77777777" w:rsidR="003A4D37" w:rsidRPr="003A4D37" w:rsidRDefault="003A4D37" w:rsidP="003A4D37"/>
    <w:p w14:paraId="7757810E" w14:textId="7DB84C7D" w:rsidR="003A4D37" w:rsidRPr="001D7D92" w:rsidRDefault="003A4D37" w:rsidP="003A4D37">
      <w:pPr>
        <w:ind w:firstLine="360"/>
      </w:pPr>
      <w:r w:rsidRPr="003A4D37">
        <w:t xml:space="preserve">This rise in interest rates, whether fleeting or long-term, allows </w:t>
      </w:r>
      <w:r w:rsidR="00D96153">
        <w:t>taxpayers</w:t>
      </w:r>
      <w:r w:rsidRPr="003A4D37">
        <w:t xml:space="preserve"> to lock in a higher rate on their </w:t>
      </w:r>
      <w:r w:rsidRPr="003A4D37">
        <w:rPr>
          <w:bCs/>
          <w:iCs/>
        </w:rPr>
        <w:t>annuity</w:t>
      </w:r>
      <w:r w:rsidRPr="003A4D37">
        <w:t xml:space="preserve"> product—in some cases, for a period that is as short as three to </w:t>
      </w:r>
      <w:r w:rsidRPr="001D7D92">
        <w:t xml:space="preserve">five years. If rates begin to drop and the </w:t>
      </w:r>
      <w:r w:rsidR="00D96153">
        <w:t>taxpayer</w:t>
      </w:r>
      <w:r w:rsidRPr="001D7D92">
        <w:t xml:space="preserve"> chooses to surrender the product, he</w:t>
      </w:r>
      <w:r w:rsidR="00D96153">
        <w:t xml:space="preserve"> or she</w:t>
      </w:r>
      <w:r w:rsidRPr="001D7D92">
        <w:t xml:space="preserve"> can take advantage of the MVA feature.</w:t>
      </w:r>
    </w:p>
    <w:p w14:paraId="72FEE8CC" w14:textId="77777777" w:rsidR="003A4D37" w:rsidRPr="001D7D92" w:rsidRDefault="003A4D37" w:rsidP="003A4D37"/>
    <w:p w14:paraId="3835DDE9" w14:textId="7E413A87" w:rsidR="003A4D37" w:rsidRPr="001D7D92" w:rsidRDefault="003A4D37" w:rsidP="003A4D37">
      <w:pPr>
        <w:ind w:firstLine="360"/>
      </w:pPr>
      <w:r w:rsidRPr="001D7D92">
        <w:t>Further, </w:t>
      </w:r>
      <w:r w:rsidRPr="001D7D92">
        <w:rPr>
          <w:bCs/>
          <w:iCs/>
        </w:rPr>
        <w:t>annuity</w:t>
      </w:r>
      <w:r w:rsidRPr="001D7D92">
        <w:t xml:space="preserve"> carriers often offer </w:t>
      </w:r>
      <w:r w:rsidR="00D96153">
        <w:t>taxpayers</w:t>
      </w:r>
      <w:r w:rsidRPr="001D7D92">
        <w:t xml:space="preserve"> higher interest rates with MVA annuities than with other </w:t>
      </w:r>
      <w:r w:rsidRPr="001D7D92">
        <w:rPr>
          <w:bCs/>
          <w:iCs/>
        </w:rPr>
        <w:t>annuity</w:t>
      </w:r>
      <w:r w:rsidRPr="001D7D92">
        <w:t xml:space="preserve"> products because the </w:t>
      </w:r>
      <w:r w:rsidR="00D96153">
        <w:t>taxpayer</w:t>
      </w:r>
      <w:r w:rsidRPr="001D7D92">
        <w:t xml:space="preserve"> bears the interest rate risk; therefore, even if interest rates remain relatively stable during the guarantee period and the </w:t>
      </w:r>
      <w:r w:rsidR="00D96153">
        <w:t>taxpayer</w:t>
      </w:r>
      <w:r w:rsidRPr="001D7D92">
        <w:t xml:space="preserve"> holds the product to maturity, he</w:t>
      </w:r>
      <w:r w:rsidR="00D96153">
        <w:t xml:space="preserve"> or she</w:t>
      </w:r>
      <w:r w:rsidRPr="001D7D92">
        <w:t xml:space="preserve"> may have locked in a higher interest rate than would be available with similarly conservative investment products.</w:t>
      </w:r>
    </w:p>
    <w:p w14:paraId="058EFA9B" w14:textId="77777777" w:rsidR="003A4D37" w:rsidRPr="001D7D92" w:rsidRDefault="003A4D37" w:rsidP="003A4D37"/>
    <w:p w14:paraId="5930C04F" w14:textId="77777777" w:rsidR="00565245" w:rsidRPr="001D7D92" w:rsidRDefault="00565245" w:rsidP="00565245"/>
    <w:p w14:paraId="6A0AC10D" w14:textId="78E33C78" w:rsidR="00D470DF" w:rsidRPr="00D470DF" w:rsidRDefault="00BF2FD7" w:rsidP="00A06488">
      <w:pPr>
        <w:ind w:left="720"/>
        <w:rPr>
          <w:b/>
        </w:rPr>
      </w:pPr>
      <w:proofErr w:type="gramStart"/>
      <w:r>
        <w:rPr>
          <w:b/>
        </w:rPr>
        <w:t xml:space="preserve">408.03  </w:t>
      </w:r>
      <w:r w:rsidR="00565245" w:rsidRPr="00D470DF">
        <w:rPr>
          <w:b/>
        </w:rPr>
        <w:t>What</w:t>
      </w:r>
      <w:proofErr w:type="gramEnd"/>
      <w:r w:rsidR="00565245" w:rsidRPr="00D470DF">
        <w:rPr>
          <w:b/>
        </w:rPr>
        <w:t xml:space="preserve"> is an indexed annuity?  </w:t>
      </w:r>
    </w:p>
    <w:p w14:paraId="0005E906" w14:textId="77777777" w:rsidR="00D470DF" w:rsidRPr="00D470DF" w:rsidRDefault="00D470DF" w:rsidP="00D470DF"/>
    <w:p w14:paraId="5B8DFDEE" w14:textId="2FAD863C" w:rsidR="00D470DF" w:rsidRPr="00D470DF" w:rsidRDefault="00D470DF" w:rsidP="00D470DF">
      <w:pPr>
        <w:ind w:firstLine="360"/>
      </w:pPr>
      <w:r w:rsidRPr="00D470DF">
        <w:t xml:space="preserve">An </w:t>
      </w:r>
      <w:r w:rsidRPr="00D470DF">
        <w:rPr>
          <w:bCs/>
          <w:iCs/>
        </w:rPr>
        <w:t>indexed annuity</w:t>
      </w:r>
      <w:r w:rsidRPr="00D470DF">
        <w:t xml:space="preserve"> is </w:t>
      </w:r>
      <w:r w:rsidR="0037586C">
        <w:t xml:space="preserve">generally </w:t>
      </w:r>
      <w:r w:rsidRPr="00D470DF">
        <w:t xml:space="preserve">a fixed annuity, either immediate or deferred, that earns interest or provides benefits that are linked to an external equity reference or an equity index. Sales of </w:t>
      </w:r>
      <w:r w:rsidR="0037586C">
        <w:t xml:space="preserve">indexed annuities </w:t>
      </w:r>
      <w:r w:rsidRPr="00D470DF">
        <w:t xml:space="preserve">have grown considerably in </w:t>
      </w:r>
      <w:r w:rsidRPr="00D470DF">
        <w:lastRenderedPageBreak/>
        <w:t xml:space="preserve">recent years. One of the most important features of an </w:t>
      </w:r>
      <w:r w:rsidR="0037586C">
        <w:t>indexed annuity</w:t>
      </w:r>
      <w:r w:rsidRPr="00D470DF">
        <w:t xml:space="preserve"> is the method used to calculate the gain in the index to which the annuity is linked.</w:t>
      </w:r>
    </w:p>
    <w:p w14:paraId="15583F6F" w14:textId="77777777" w:rsidR="00D470DF" w:rsidRPr="00D470DF" w:rsidRDefault="00D470DF" w:rsidP="00D470DF"/>
    <w:p w14:paraId="71538294" w14:textId="1ECB0A23" w:rsidR="00D470DF" w:rsidRPr="00D470DF" w:rsidRDefault="0037586C" w:rsidP="00D470DF">
      <w:pPr>
        <w:ind w:firstLine="360"/>
      </w:pPr>
      <w:r>
        <w:t>Indexed annuities</w:t>
      </w:r>
      <w:r w:rsidR="00D470DF" w:rsidRPr="00D470DF">
        <w:t xml:space="preserve"> have characteristics of both fixed and variable annuities. Their return varies more than a fixed annuity, but not as much as a variable annuity. Thus </w:t>
      </w:r>
      <w:r>
        <w:t>indexed annuities</w:t>
      </w:r>
      <w:r w:rsidR="00D470DF" w:rsidRPr="00D470DF">
        <w:t xml:space="preserve"> contain more risk (but have more potential for a greater return) than a fixed annuity. </w:t>
      </w:r>
      <w:r>
        <w:t>Indexed annuities</w:t>
      </w:r>
      <w:r w:rsidR="00D470DF" w:rsidRPr="00D470DF">
        <w:t xml:space="preserve"> also offer a minimum guaranteed interest rate combined with an interest rate linked to a market index. Because of the guaranteed interest rate, </w:t>
      </w:r>
      <w:r>
        <w:t>indexed annuities</w:t>
      </w:r>
      <w:r w:rsidR="00D470DF" w:rsidRPr="00D470DF">
        <w:t xml:space="preserve"> have less market risk than variable annuities and have the potential to earn higher returns than traditional fixed annuities in a rising stock market. For example, many single premium deferred annuity contracts guarantee the minimum value will never be less than 90 percent of the premium paid, plus at least 3 percent in annual interest (less any partial withdrawals). The guaranteed value is the minimum amount available during a term for withdrawals, </w:t>
      </w:r>
      <w:proofErr w:type="spellStart"/>
      <w:r w:rsidR="00D470DF" w:rsidRPr="00D470DF">
        <w:t>annuitizations</w:t>
      </w:r>
      <w:proofErr w:type="spellEnd"/>
      <w:r w:rsidR="00D470DF" w:rsidRPr="00D470DF">
        <w:t xml:space="preserve"> and death benefits.</w:t>
      </w:r>
    </w:p>
    <w:p w14:paraId="399CF7CC" w14:textId="77777777" w:rsidR="00D470DF" w:rsidRPr="00D470DF" w:rsidRDefault="00D470DF" w:rsidP="00D470DF"/>
    <w:p w14:paraId="4DF6E179" w14:textId="265A3611" w:rsidR="00D470DF" w:rsidRDefault="00D470DF" w:rsidP="00D470DF">
      <w:pPr>
        <w:ind w:firstLine="360"/>
      </w:pPr>
      <w:r w:rsidRPr="00D470DF">
        <w:t xml:space="preserve">The index-linked gain depends on the particular combination of indexing features that a particular </w:t>
      </w:r>
      <w:r w:rsidR="0037586C">
        <w:t>indexed annuity</w:t>
      </w:r>
      <w:r w:rsidRPr="00D470DF">
        <w:t xml:space="preserve"> uses. The most common indexing features are listed below.</w:t>
      </w:r>
    </w:p>
    <w:p w14:paraId="57345E99" w14:textId="77777777" w:rsidR="00D470DF" w:rsidRPr="00D470DF" w:rsidRDefault="00D470DF" w:rsidP="00D470DF"/>
    <w:p w14:paraId="1334B0C8" w14:textId="705BB187" w:rsidR="00D470DF" w:rsidRDefault="00D470DF" w:rsidP="00D470DF">
      <w:pPr>
        <w:pStyle w:val="ListParagraph"/>
        <w:numPr>
          <w:ilvl w:val="0"/>
          <w:numId w:val="2"/>
        </w:numPr>
      </w:pPr>
      <w:r w:rsidRPr="00D470DF">
        <w:rPr>
          <w:bCs/>
          <w:i/>
          <w:iCs/>
        </w:rPr>
        <w:t xml:space="preserve">Participation Rates: </w:t>
      </w:r>
      <w:r w:rsidRPr="00D470DF">
        <w:t xml:space="preserve">The participation rate decides how much of the increase in the index will be used to calculate index-linked interest. For example, if the calculated change in the index is 9 percent and the participation rate is 70 percent, the index-linked interest rate is 6.3 percent (9% x 70% = 6.3%). A company may set a different participation rate for newly issued annuities daily. The initial participation rate is typically guaranteed for a specific period. Some </w:t>
      </w:r>
      <w:r w:rsidR="0037586C">
        <w:t>indexed annuities</w:t>
      </w:r>
      <w:r w:rsidRPr="00D470DF">
        <w:t xml:space="preserve"> guarantee that the participation rate will never be set lower than a specified minimum or higher than a specified maximum.</w:t>
      </w:r>
    </w:p>
    <w:p w14:paraId="0C747F87" w14:textId="77777777" w:rsidR="00D470DF" w:rsidRPr="00D470DF" w:rsidRDefault="00D470DF" w:rsidP="00D470DF"/>
    <w:p w14:paraId="676EA99E" w14:textId="5C67D849" w:rsidR="00D470DF" w:rsidRDefault="00D470DF" w:rsidP="00D470DF">
      <w:pPr>
        <w:pStyle w:val="ListParagraph"/>
        <w:numPr>
          <w:ilvl w:val="0"/>
          <w:numId w:val="2"/>
        </w:numPr>
      </w:pPr>
      <w:r w:rsidRPr="00D470DF">
        <w:rPr>
          <w:bCs/>
          <w:i/>
          <w:iCs/>
        </w:rPr>
        <w:t xml:space="preserve">Spread/Margin/Administrative Fee: </w:t>
      </w:r>
      <w:r w:rsidRPr="00D470DF">
        <w:t xml:space="preserve">Some </w:t>
      </w:r>
      <w:r w:rsidR="0037586C">
        <w:t>indexed annuities</w:t>
      </w:r>
      <w:r w:rsidRPr="00D470DF">
        <w:t xml:space="preserve"> use a spread, margin or administrative fee in addition to, or instead of, a participation rate. This percentage will be subtracted from any gain in the index linked to the annuity. For example, if the index gained 10 percent and the spread/margin/asset fee is 3.5 percent, then the gain in the annuity would be only 6.5 percent</w:t>
      </w:r>
    </w:p>
    <w:p w14:paraId="6C4D145D" w14:textId="77777777" w:rsidR="00D470DF" w:rsidRPr="00D470DF" w:rsidRDefault="00D470DF" w:rsidP="00D470DF"/>
    <w:p w14:paraId="1B6DFEBF" w14:textId="6F8898E3" w:rsidR="00D470DF" w:rsidRDefault="00D470DF" w:rsidP="00D470DF">
      <w:pPr>
        <w:pStyle w:val="ListParagraph"/>
        <w:numPr>
          <w:ilvl w:val="0"/>
          <w:numId w:val="2"/>
        </w:numPr>
      </w:pPr>
      <w:r w:rsidRPr="00D470DF">
        <w:rPr>
          <w:bCs/>
          <w:i/>
          <w:iCs/>
        </w:rPr>
        <w:t xml:space="preserve">Interest Rate Caps. </w:t>
      </w:r>
      <w:r w:rsidRPr="00D470DF">
        <w:t xml:space="preserve">Some </w:t>
      </w:r>
      <w:r w:rsidR="0037586C">
        <w:t>indexed annuities</w:t>
      </w:r>
      <w:r w:rsidRPr="00D470DF">
        <w:t xml:space="preserve"> may put a cap or upper limit on total return. This cap rate is generally stated as a percentage. This is the maximum rate of interest the annuity will earn. For example, if the index linked to the annuity gained 10 percent and the cap rate was 8 percent, then the gain in the annuity would be 8 percent. (Note that </w:t>
      </w:r>
      <w:r w:rsidR="0037586C">
        <w:t>indexed annuities</w:t>
      </w:r>
      <w:r w:rsidRPr="00D470DF">
        <w:t xml:space="preserve"> that have caps may have a higher a participation rate.)</w:t>
      </w:r>
    </w:p>
    <w:p w14:paraId="535162E7" w14:textId="77777777" w:rsidR="00D470DF" w:rsidRPr="00D470DF" w:rsidRDefault="00D470DF" w:rsidP="00D470DF"/>
    <w:p w14:paraId="65D2B1E3" w14:textId="48305F1B" w:rsidR="00D470DF" w:rsidRPr="00D470DF" w:rsidRDefault="00D470DF" w:rsidP="00D470DF">
      <w:pPr>
        <w:ind w:firstLine="360"/>
      </w:pPr>
      <w:r w:rsidRPr="00D470DF">
        <w:lastRenderedPageBreak/>
        <w:t xml:space="preserve">Some </w:t>
      </w:r>
      <w:r w:rsidR="0037586C">
        <w:t>indexed annuity</w:t>
      </w:r>
      <w:r w:rsidRPr="00D470DF">
        <w:t xml:space="preserve"> contracts allow the insurance company to change participation rates, cap rates, or spread/margin/administrative fees annually or at the start of the next contract term.</w:t>
      </w:r>
    </w:p>
    <w:p w14:paraId="62966BEC" w14:textId="77777777" w:rsidR="00565245" w:rsidRPr="00D470DF" w:rsidRDefault="00565245" w:rsidP="00565245">
      <w:pPr>
        <w:rPr>
          <w:b/>
        </w:rPr>
      </w:pPr>
    </w:p>
    <w:p w14:paraId="3FB733F2" w14:textId="4093AEC5" w:rsidR="00565245" w:rsidRPr="001D7D92" w:rsidRDefault="00BF2FD7" w:rsidP="00A06488">
      <w:pPr>
        <w:ind w:left="720"/>
        <w:rPr>
          <w:b/>
        </w:rPr>
      </w:pPr>
      <w:proofErr w:type="gramStart"/>
      <w:r>
        <w:rPr>
          <w:b/>
        </w:rPr>
        <w:t xml:space="preserve">425.01  </w:t>
      </w:r>
      <w:r w:rsidR="0037586C">
        <w:rPr>
          <w:b/>
        </w:rPr>
        <w:t>What</w:t>
      </w:r>
      <w:proofErr w:type="gramEnd"/>
      <w:r w:rsidR="0037586C">
        <w:rPr>
          <w:b/>
        </w:rPr>
        <w:t xml:space="preserve"> is an indexed </w:t>
      </w:r>
      <w:r w:rsidR="00565245" w:rsidRPr="001D7D92">
        <w:rPr>
          <w:b/>
        </w:rPr>
        <w:t xml:space="preserve">variable </w:t>
      </w:r>
      <w:r w:rsidR="0037586C">
        <w:rPr>
          <w:b/>
        </w:rPr>
        <w:t xml:space="preserve">annuity? </w:t>
      </w:r>
    </w:p>
    <w:p w14:paraId="7250A460" w14:textId="77777777" w:rsidR="003A4D37" w:rsidRPr="001D7D92" w:rsidRDefault="003A4D37" w:rsidP="003A4D37"/>
    <w:p w14:paraId="1ABEF26F" w14:textId="77777777" w:rsidR="003A4D37" w:rsidRPr="001D7D92" w:rsidRDefault="003A4D37" w:rsidP="003A4D37">
      <w:pPr>
        <w:ind w:firstLine="360"/>
      </w:pPr>
      <w:r w:rsidRPr="001D7D92">
        <w:t xml:space="preserve">Although known by several different names and subject to a broad range of potential product features, an </w:t>
      </w:r>
      <w:r w:rsidR="001D7D92">
        <w:t xml:space="preserve">indexed variable annuity </w:t>
      </w:r>
      <w:r w:rsidRPr="001D7D92">
        <w:t>is essentially an </w:t>
      </w:r>
      <w:r w:rsidRPr="001D7D92">
        <w:rPr>
          <w:bCs/>
          <w:iCs/>
        </w:rPr>
        <w:t>annuity</w:t>
      </w:r>
      <w:r w:rsidRPr="001D7D92">
        <w:t> product where investment returns are tied to the performance of one or more stock indices (e.g., the S&amp;P 500 or the Dow Jones). Unlike straight equity investing, however, the product itself offers a cushion against investment losses in exchange for a cap on the potential for investment gains.</w:t>
      </w:r>
    </w:p>
    <w:p w14:paraId="2A675408" w14:textId="77777777" w:rsidR="003A4D37" w:rsidRPr="001D7D92" w:rsidRDefault="003A4D37" w:rsidP="003A4D37">
      <w:pPr>
        <w:ind w:firstLine="360"/>
      </w:pPr>
    </w:p>
    <w:p w14:paraId="590F8A3A" w14:textId="65B48795" w:rsidR="003A4D37" w:rsidRPr="001D7D92" w:rsidRDefault="003A4D37" w:rsidP="003A4D37">
      <w:pPr>
        <w:ind w:firstLine="360"/>
      </w:pPr>
      <w:r w:rsidRPr="001D7D92">
        <w:t xml:space="preserve">The carrier may offer 10, 15, or 20 percent (or more) buffers against investment losses, meaning that if the underlying investments generate a loss, the insurance carrier absorbs a set percentage of that loss before the </w:t>
      </w:r>
      <w:r w:rsidR="00996DA3">
        <w:t>taxpayer</w:t>
      </w:r>
      <w:r w:rsidRPr="001D7D92">
        <w:t xml:space="preserve"> experiences any loss. As such, if the chosen index declines, for example, by 10 percent and the </w:t>
      </w:r>
      <w:r w:rsidR="00996DA3">
        <w:t>taxpayer</w:t>
      </w:r>
      <w:r w:rsidRPr="001D7D92">
        <w:t xml:space="preserve"> has chosen a 15 percent buffer, the </w:t>
      </w:r>
      <w:r w:rsidR="00996DA3">
        <w:t>taxpayer’s</w:t>
      </w:r>
      <w:r w:rsidRPr="001D7D92">
        <w:t xml:space="preserve"> account value will decline only by the 5 percent loss that exceeds the contract’s downside protection.</w:t>
      </w:r>
    </w:p>
    <w:p w14:paraId="4436AC4F" w14:textId="77777777" w:rsidR="003A4D37" w:rsidRPr="001D7D92" w:rsidRDefault="003A4D37" w:rsidP="003A4D37"/>
    <w:p w14:paraId="007D395B" w14:textId="4EE75E5E" w:rsidR="003A4D37" w:rsidRPr="001D7D92" w:rsidRDefault="003A4D37" w:rsidP="003A4D37">
      <w:pPr>
        <w:ind w:firstLine="360"/>
      </w:pPr>
      <w:r w:rsidRPr="001D7D92">
        <w:t xml:space="preserve">However, as a trade-off for the downside protection afforded by these contracts, participation in the linked index’s gains will be subject to a cap for a fixed term of years. Despite this, the term of years can be as short as a single year for some contracts, allowing the </w:t>
      </w:r>
      <w:r w:rsidR="00996DA3">
        <w:t>taxpayer</w:t>
      </w:r>
      <w:r w:rsidRPr="001D7D92">
        <w:t xml:space="preserve"> a degree of flexibility that he</w:t>
      </w:r>
      <w:r w:rsidR="00996DA3">
        <w:t xml:space="preserve"> or she</w:t>
      </w:r>
      <w:r w:rsidRPr="001D7D92">
        <w:t xml:space="preserve"> might not otherwise find available in a fixed indexed </w:t>
      </w:r>
      <w:r w:rsidRPr="001D7D92">
        <w:rPr>
          <w:bCs/>
          <w:iCs/>
        </w:rPr>
        <w:t>annuity</w:t>
      </w:r>
      <w:r w:rsidRPr="001D7D92">
        <w:t> product. Further, some contracts provide for an upside cap that fluctuates annually—or, in some cases, as frequently as weekly or monthly.</w:t>
      </w:r>
    </w:p>
    <w:p w14:paraId="5F0E05B0" w14:textId="77777777" w:rsidR="003A4D37" w:rsidRPr="001D7D92" w:rsidRDefault="003A4D37" w:rsidP="003A4D37">
      <w:pPr>
        <w:ind w:firstLine="360"/>
      </w:pPr>
    </w:p>
    <w:p w14:paraId="37FD2288" w14:textId="77777777" w:rsidR="003A4D37" w:rsidRPr="001D7D92" w:rsidRDefault="003A4D37" w:rsidP="003A4D37">
      <w:pPr>
        <w:ind w:firstLine="360"/>
      </w:pPr>
      <w:r w:rsidRPr="001D7D92">
        <w:t>Some insurance carriers even offer products that cover 100 percent of the downside risk of the investment, but these carriers also set the upside caps on these contracts at a lower percentage (in some cases, as low as 1.5 percent) that resets frequently (for example, every two weeks).</w:t>
      </w:r>
    </w:p>
    <w:p w14:paraId="05228870" w14:textId="77777777" w:rsidR="003A4D37" w:rsidRPr="001D7D92" w:rsidRDefault="003A4D37" w:rsidP="003A4D37">
      <w:pPr>
        <w:ind w:firstLine="360"/>
      </w:pPr>
    </w:p>
    <w:p w14:paraId="18D8D9AD" w14:textId="77777777" w:rsidR="003A4D37" w:rsidRPr="001D7D92" w:rsidRDefault="003A4D37" w:rsidP="003A4D37">
      <w:pPr>
        <w:ind w:firstLine="360"/>
      </w:pPr>
      <w:r w:rsidRPr="001D7D92">
        <w:t xml:space="preserve">Despite their lack of guaranteed income, in addition to these product-specific features, </w:t>
      </w:r>
      <w:r w:rsidR="001D7D92">
        <w:t>indexed variable annuities</w:t>
      </w:r>
      <w:r w:rsidRPr="001D7D92">
        <w:t xml:space="preserve"> continue to offer many of the benefits that traditionally accompany an </w:t>
      </w:r>
      <w:r w:rsidRPr="001D7D92">
        <w:rPr>
          <w:bCs/>
          <w:iCs/>
        </w:rPr>
        <w:t>annuity</w:t>
      </w:r>
      <w:r w:rsidRPr="001D7D92">
        <w:t> product, including the valuable elements of tax deferral and death benefits for account beneficiaries.</w:t>
      </w:r>
    </w:p>
    <w:p w14:paraId="7D8CA408" w14:textId="7370C973" w:rsidR="00565245" w:rsidRPr="001D7D92" w:rsidRDefault="009B6488" w:rsidP="00A06488">
      <w:pPr>
        <w:rPr>
          <w:b/>
        </w:rPr>
      </w:pPr>
      <w:proofErr w:type="gramStart"/>
      <w:r>
        <w:rPr>
          <w:b/>
        </w:rPr>
        <w:t xml:space="preserve">430.01  </w:t>
      </w:r>
      <w:r w:rsidR="00565245" w:rsidRPr="001D7D92">
        <w:rPr>
          <w:b/>
        </w:rPr>
        <w:t>Can</w:t>
      </w:r>
      <w:proofErr w:type="gramEnd"/>
      <w:r w:rsidR="00565245" w:rsidRPr="001D7D92">
        <w:rPr>
          <w:b/>
        </w:rPr>
        <w:t xml:space="preserve"> a taxpayer combine a deferred income annuity with a traditional annuity product?</w:t>
      </w:r>
    </w:p>
    <w:p w14:paraId="177DB355" w14:textId="77777777" w:rsidR="001D7D92" w:rsidRDefault="001D7D92" w:rsidP="001D7D92"/>
    <w:p w14:paraId="4C55710F" w14:textId="19394826" w:rsidR="001D7D92" w:rsidRDefault="00996DA3" w:rsidP="001D7D92">
      <w:pPr>
        <w:ind w:firstLine="360"/>
      </w:pPr>
      <w:r>
        <w:t>Yes.  I</w:t>
      </w:r>
      <w:r w:rsidR="001D7D92" w:rsidRPr="001D7D92">
        <w:t xml:space="preserve">nsurance carriers have begun offering optional riders that can be attached to variable annuity products in order to include the benefits of a deferred income annuity within the variable annuity. These deferred income annuities allow </w:t>
      </w:r>
      <w:r>
        <w:t xml:space="preserve">the </w:t>
      </w:r>
      <w:r>
        <w:lastRenderedPageBreak/>
        <w:t>contract owner</w:t>
      </w:r>
      <w:r w:rsidR="001D7D92" w:rsidRPr="001D7D92">
        <w:t xml:space="preserve"> to withdraw portions of the variable annuity itself in order to fund annuity payouts late into retirement.</w:t>
      </w:r>
    </w:p>
    <w:p w14:paraId="04DF3A99" w14:textId="77777777" w:rsidR="001D7D92" w:rsidRPr="001D7D92" w:rsidRDefault="001D7D92" w:rsidP="001D7D92"/>
    <w:p w14:paraId="02D7B383" w14:textId="11D56EDC" w:rsidR="001D7D92" w:rsidRDefault="00996DA3" w:rsidP="001D7D92">
      <w:pPr>
        <w:ind w:firstLine="360"/>
      </w:pPr>
      <w:r>
        <w:t>Taxpayers</w:t>
      </w:r>
      <w:r w:rsidR="001D7D92" w:rsidRPr="001D7D92">
        <w:t xml:space="preserve"> must purchase the rider at the time the variable annuity is purchased and can then begin transferring a portion of the variable annuity accumulation into the deferred income component as soon as two years after the contract is purchased. When the </w:t>
      </w:r>
      <w:r>
        <w:t>taxpayer</w:t>
      </w:r>
      <w:r w:rsidR="001D7D92" w:rsidRPr="001D7D92">
        <w:t xml:space="preserve"> begins making transfers into the deferred component, he </w:t>
      </w:r>
      <w:r>
        <w:t xml:space="preserve">or she </w:t>
      </w:r>
      <w:r w:rsidR="001D7D92" w:rsidRPr="001D7D92">
        <w:t>must also choose the beginning date for the deferred payments.</w:t>
      </w:r>
    </w:p>
    <w:p w14:paraId="280E5759" w14:textId="77777777" w:rsidR="001D7D92" w:rsidRPr="001D7D92" w:rsidRDefault="001D7D92" w:rsidP="001D7D92"/>
    <w:p w14:paraId="4939B1FF" w14:textId="0C033648" w:rsidR="001D7D92" w:rsidRDefault="001D7D92" w:rsidP="001D7D92">
      <w:pPr>
        <w:ind w:firstLine="360"/>
      </w:pPr>
      <w:r w:rsidRPr="001D7D92">
        <w:t xml:space="preserve">The deferral period can be as brief as two years or, in some cases, as long as forty years, giving </w:t>
      </w:r>
      <w:r w:rsidR="00996DA3">
        <w:t>taxpayers</w:t>
      </w:r>
      <w:r w:rsidRPr="001D7D92">
        <w:t xml:space="preserve"> substantial flexibility in designing the product to meet their individual financial needs. Further, </w:t>
      </w:r>
      <w:r w:rsidR="00996DA3">
        <w:t>taxpayers</w:t>
      </w:r>
      <w:r w:rsidRPr="001D7D92">
        <w:t xml:space="preserve"> can choose to transfer as little as around $1,000 at a time or as much as $100,000 to build the deferred income portion more quickly.</w:t>
      </w:r>
    </w:p>
    <w:p w14:paraId="456E6B1D" w14:textId="77777777" w:rsidR="001D7D92" w:rsidRDefault="001D7D92" w:rsidP="001D7D92">
      <w:pPr>
        <w:ind w:firstLine="360"/>
      </w:pPr>
    </w:p>
    <w:p w14:paraId="38100B75" w14:textId="5A6A86FB" w:rsidR="001D7D92" w:rsidRDefault="001D7D92" w:rsidP="001D7D92">
      <w:pPr>
        <w:ind w:firstLine="360"/>
      </w:pPr>
      <w:r w:rsidRPr="001D7D92">
        <w:t xml:space="preserve">The deferred income annuity rider can simplify </w:t>
      </w:r>
      <w:r w:rsidR="00996DA3">
        <w:t>taxpayers’</w:t>
      </w:r>
      <w:r w:rsidRPr="001D7D92">
        <w:t xml:space="preserve"> retirement income planning strategies in several important ways, not the least of which involves the ability to gain the benefits of both variable and deferred income annuities within one single annuity package.</w:t>
      </w:r>
    </w:p>
    <w:p w14:paraId="5A11A814" w14:textId="77777777" w:rsidR="00D470DF" w:rsidRPr="001D7D92" w:rsidRDefault="00D470DF" w:rsidP="001D7D92">
      <w:pPr>
        <w:ind w:firstLine="360"/>
      </w:pPr>
    </w:p>
    <w:p w14:paraId="5A944BC3" w14:textId="3AF4C6BF" w:rsidR="001D7D92" w:rsidRDefault="001D7D92" w:rsidP="001D7D92">
      <w:pPr>
        <w:ind w:firstLine="360"/>
      </w:pPr>
      <w:r w:rsidRPr="001D7D92">
        <w:t xml:space="preserve">This single-package treatment also allows </w:t>
      </w:r>
      <w:r w:rsidR="00996DA3">
        <w:t>taxpayers</w:t>
      </w:r>
      <w:r w:rsidRPr="001D7D92">
        <w:t xml:space="preserve"> to avoid the situation where they wish to transition their planning strategies to eliminate the investment-type features common to variable annuity products into a product that allows for a definite income stream—a situation that commonly arises around the time when a </w:t>
      </w:r>
      <w:r w:rsidR="00996DA3">
        <w:t>taxpayer</w:t>
      </w:r>
      <w:r w:rsidRPr="001D7D92">
        <w:t xml:space="preserve"> retires.</w:t>
      </w:r>
    </w:p>
    <w:p w14:paraId="062B63E4" w14:textId="77777777" w:rsidR="001D7D92" w:rsidRPr="001D7D92" w:rsidRDefault="001D7D92" w:rsidP="001D7D92">
      <w:pPr>
        <w:ind w:firstLine="360"/>
      </w:pPr>
    </w:p>
    <w:p w14:paraId="49A3D275" w14:textId="6379D221" w:rsidR="001D7D92" w:rsidRPr="001D7D92" w:rsidRDefault="001D7D92" w:rsidP="001D7D92">
      <w:pPr>
        <w:ind w:firstLine="360"/>
      </w:pPr>
      <w:r w:rsidRPr="001D7D92">
        <w:t xml:space="preserve">Without the combination product, the </w:t>
      </w:r>
      <w:r w:rsidR="00996DA3">
        <w:t>taxpayer</w:t>
      </w:r>
      <w:r w:rsidRPr="001D7D92">
        <w:t xml:space="preserve"> would traditionally be required to execute a tax-free exchange of the variable annuity contract for a deferred income annuity. Instead, the deferred income annuity rider allows the </w:t>
      </w:r>
      <w:r w:rsidR="00996DA3">
        <w:t>taxpayer</w:t>
      </w:r>
      <w:r w:rsidRPr="001D7D92">
        <w:t xml:space="preserve"> to systematically transfer funds from the variable portion of the contract into the deferred income portion over time (though lump sum transfers are also permissible).</w:t>
      </w:r>
    </w:p>
    <w:p w14:paraId="68AFE545" w14:textId="77777777" w:rsidR="001D7D92" w:rsidRPr="003A4D37" w:rsidRDefault="001D7D92" w:rsidP="001D7D92"/>
    <w:p w14:paraId="3EFB6E6B" w14:textId="77777777" w:rsidR="00565245" w:rsidRPr="003A4D37" w:rsidRDefault="00565245" w:rsidP="00565245"/>
    <w:p w14:paraId="4EC7DD5B" w14:textId="48ED3777" w:rsidR="00565245" w:rsidRPr="00481ABB" w:rsidRDefault="009B6488" w:rsidP="00A06488">
      <w:pPr>
        <w:ind w:left="720"/>
        <w:rPr>
          <w:b/>
        </w:rPr>
      </w:pPr>
      <w:proofErr w:type="gramStart"/>
      <w:r>
        <w:rPr>
          <w:b/>
        </w:rPr>
        <w:t xml:space="preserve">404.01  </w:t>
      </w:r>
      <w:r w:rsidR="001D7D92" w:rsidRPr="00481ABB">
        <w:rPr>
          <w:b/>
        </w:rPr>
        <w:t>What</w:t>
      </w:r>
      <w:proofErr w:type="gramEnd"/>
      <w:r w:rsidR="001D7D92" w:rsidRPr="00481ABB">
        <w:rPr>
          <w:b/>
        </w:rPr>
        <w:t xml:space="preserve"> is a guaranteed lifetime withdrawal benefit rider</w:t>
      </w:r>
      <w:r w:rsidR="00565245" w:rsidRPr="00481ABB">
        <w:rPr>
          <w:b/>
        </w:rPr>
        <w:t>?</w:t>
      </w:r>
    </w:p>
    <w:p w14:paraId="6483C7C5" w14:textId="77777777" w:rsidR="001D7D92" w:rsidRDefault="001D7D92" w:rsidP="001D7D92"/>
    <w:p w14:paraId="2E93B6FF" w14:textId="18D6C4A0" w:rsidR="001D7D92" w:rsidRDefault="0016703A" w:rsidP="001D7D92">
      <w:pPr>
        <w:ind w:firstLine="360"/>
      </w:pPr>
      <w:r>
        <w:t>A guaranteed lifetime withdrawal benefit rider (GLWB)</w:t>
      </w:r>
      <w:r w:rsidR="001D7D92" w:rsidRPr="001D7D92">
        <w:t xml:space="preserve"> guarantee</w:t>
      </w:r>
      <w:r>
        <w:t>s</w:t>
      </w:r>
      <w:r w:rsidR="001D7D92" w:rsidRPr="001D7D92">
        <w:t xml:space="preserve"> that the </w:t>
      </w:r>
      <w:r w:rsidR="00996DA3">
        <w:t>taxpayer</w:t>
      </w:r>
      <w:r w:rsidR="001D7D92" w:rsidRPr="001D7D92">
        <w:t xml:space="preserve"> will be able to withdraw a certain</w:t>
      </w:r>
      <w:r>
        <w:t xml:space="preserve"> percentage of the value of the</w:t>
      </w:r>
      <w:r w:rsidR="001D7D92" w:rsidRPr="001D7D92">
        <w:t xml:space="preserve"> benefit base</w:t>
      </w:r>
      <w:r>
        <w:t xml:space="preserve"> of the taxpayer’s annuity</w:t>
      </w:r>
      <w:r w:rsidR="001D7D92" w:rsidRPr="001D7D92">
        <w:t xml:space="preserve">, which has been growing by a guaranteed amount over the course of the deferral period (the guarantee is commonly somewhere between 4 and 8 percent). </w:t>
      </w:r>
      <w:r>
        <w:t>Taxpayers</w:t>
      </w:r>
      <w:r w:rsidR="001D7D92" w:rsidRPr="001D7D92">
        <w:t xml:space="preserve"> looking for larger payouts later in life should be advised that the longer the base account is allowed to grow, the larger the withdrawals will be in the future. Further, it is important that the </w:t>
      </w:r>
      <w:r>
        <w:t>taxpayer</w:t>
      </w:r>
      <w:r w:rsidR="001D7D92" w:rsidRPr="001D7D92">
        <w:t xml:space="preserve"> understand that he</w:t>
      </w:r>
      <w:r>
        <w:t xml:space="preserve"> or she</w:t>
      </w:r>
      <w:r w:rsidR="001D7D92" w:rsidRPr="001D7D92">
        <w:t xml:space="preserve"> must stay within the limits of the guaranteed </w:t>
      </w:r>
      <w:r w:rsidR="001D7D92" w:rsidRPr="001D7D92">
        <w:lastRenderedPageBreak/>
        <w:t xml:space="preserve">withdrawals; some contracts provide for termination of the feature if the </w:t>
      </w:r>
      <w:r>
        <w:t>taxpayer</w:t>
      </w:r>
      <w:r w:rsidR="001D7D92" w:rsidRPr="001D7D92">
        <w:t xml:space="preserve"> takes an excess withdrawal.</w:t>
      </w:r>
    </w:p>
    <w:p w14:paraId="73E013B9" w14:textId="77777777" w:rsidR="00481ABB" w:rsidRDefault="00481ABB" w:rsidP="001D7D92">
      <w:pPr>
        <w:ind w:firstLine="360"/>
      </w:pPr>
    </w:p>
    <w:p w14:paraId="76619E29" w14:textId="236B489E" w:rsidR="00481ABB" w:rsidRPr="00481ABB" w:rsidRDefault="00481ABB" w:rsidP="00481ABB">
      <w:pPr>
        <w:ind w:firstLine="360"/>
      </w:pPr>
      <w:r w:rsidRPr="00481ABB">
        <w:t xml:space="preserve">One common ground between these types of riders </w:t>
      </w:r>
      <w:r w:rsidR="0016703A">
        <w:t>and a lifetime income benefit rider (LIBRs, see Q</w:t>
      </w:r>
      <w:r w:rsidR="009B6488">
        <w:t xml:space="preserve"> </w:t>
      </w:r>
      <w:proofErr w:type="gramStart"/>
      <w:r w:rsidR="009B6488">
        <w:t xml:space="preserve">404.02 </w:t>
      </w:r>
      <w:r w:rsidR="0016703A">
        <w:t>)</w:t>
      </w:r>
      <w:proofErr w:type="gramEnd"/>
      <w:r w:rsidR="0016703A">
        <w:t xml:space="preserve"> </w:t>
      </w:r>
      <w:r w:rsidRPr="00481ABB">
        <w:t xml:space="preserve">lies in the fact that the benefit base itself is not available for cash withdrawals. This “account” has no real current cash value to the </w:t>
      </w:r>
      <w:r w:rsidR="0016703A">
        <w:t>taxpayer</w:t>
      </w:r>
      <w:r w:rsidRPr="00481ABB">
        <w:t xml:space="preserve">—meaning that, unlike the accumulation value of the account, the </w:t>
      </w:r>
      <w:r w:rsidR="0016703A">
        <w:t>taxpayer</w:t>
      </w:r>
      <w:r w:rsidRPr="00481ABB">
        <w:t xml:space="preserve"> cannot access this value through surrendering the contract prior to the end of the deferral period.</w:t>
      </w:r>
    </w:p>
    <w:p w14:paraId="19FD71C6" w14:textId="77777777" w:rsidR="00481ABB" w:rsidRPr="00481ABB" w:rsidRDefault="00481ABB" w:rsidP="00481ABB">
      <w:pPr>
        <w:ind w:firstLine="360"/>
      </w:pPr>
    </w:p>
    <w:p w14:paraId="2B027B8B" w14:textId="77777777" w:rsidR="00565245" w:rsidRPr="003A4D37" w:rsidRDefault="00565245" w:rsidP="00565245"/>
    <w:p w14:paraId="194A4955" w14:textId="4F759F47" w:rsidR="001D7D92" w:rsidRDefault="009B6488" w:rsidP="00A06488">
      <w:pPr>
        <w:rPr>
          <w:b/>
        </w:rPr>
      </w:pPr>
      <w:proofErr w:type="gramStart"/>
      <w:r>
        <w:rPr>
          <w:b/>
        </w:rPr>
        <w:t xml:space="preserve">404.02  </w:t>
      </w:r>
      <w:r w:rsidR="001D7D92">
        <w:rPr>
          <w:b/>
        </w:rPr>
        <w:t>What</w:t>
      </w:r>
      <w:proofErr w:type="gramEnd"/>
      <w:r w:rsidR="001D7D92">
        <w:rPr>
          <w:b/>
        </w:rPr>
        <w:t xml:space="preserve"> is a lifetime income benefit rider</w:t>
      </w:r>
      <w:r w:rsidR="0016703A">
        <w:rPr>
          <w:b/>
        </w:rPr>
        <w:t xml:space="preserve"> (LIBR)</w:t>
      </w:r>
      <w:r w:rsidR="001D7D92">
        <w:rPr>
          <w:b/>
        </w:rPr>
        <w:t>?</w:t>
      </w:r>
    </w:p>
    <w:p w14:paraId="51EC0071" w14:textId="77777777" w:rsidR="001D7D92" w:rsidRDefault="001D7D92" w:rsidP="001D7D92">
      <w:pPr>
        <w:rPr>
          <w:b/>
        </w:rPr>
      </w:pPr>
    </w:p>
    <w:p w14:paraId="65D9E297" w14:textId="651E5AE5" w:rsidR="001D7D92" w:rsidRDefault="001D7D92" w:rsidP="001D7D92">
      <w:pPr>
        <w:ind w:firstLine="360"/>
      </w:pPr>
      <w:r w:rsidRPr="001D7D92">
        <w:t xml:space="preserve">A </w:t>
      </w:r>
      <w:r w:rsidR="0016703A">
        <w:t>lifetime income benefit rider (</w:t>
      </w:r>
      <w:r w:rsidRPr="001D7D92">
        <w:t>LIBR</w:t>
      </w:r>
      <w:r w:rsidR="0016703A">
        <w:t>)</w:t>
      </w:r>
      <w:r w:rsidRPr="001D7D92">
        <w:t>, while similar</w:t>
      </w:r>
      <w:r w:rsidR="0016703A">
        <w:t xml:space="preserve"> to a guaranteed lifetime withdrawal benefit rider (GLWB, see Q</w:t>
      </w:r>
      <w:r w:rsidR="00A06488">
        <w:t xml:space="preserve"> 404.01</w:t>
      </w:r>
      <w:r w:rsidR="0016703A">
        <w:t>))</w:t>
      </w:r>
      <w:r w:rsidRPr="001D7D92">
        <w:t xml:space="preserve">, is a rider pursuant to which the annuity carrier agrees to pay income over the </w:t>
      </w:r>
      <w:r w:rsidR="0016703A">
        <w:t>taxpayer’s</w:t>
      </w:r>
      <w:r w:rsidRPr="001D7D92">
        <w:t xml:space="preserve"> lifetime in the form of an annuity. The income stream that results once the </w:t>
      </w:r>
      <w:r w:rsidR="0016703A">
        <w:t>taxpayer</w:t>
      </w:r>
      <w:r w:rsidRPr="001D7D92">
        <w:t xml:space="preserve"> annuitizes th</w:t>
      </w:r>
      <w:r w:rsidR="0016703A">
        <w:t xml:space="preserve">e contract is also drawn from the annuity’s </w:t>
      </w:r>
      <w:r w:rsidRPr="001D7D92">
        <w:t xml:space="preserve">benefit base, but the carrier uses the </w:t>
      </w:r>
      <w:r w:rsidR="0016703A">
        <w:t>taxpayer’s</w:t>
      </w:r>
      <w:r w:rsidRPr="001D7D92">
        <w:t xml:space="preserve"> life expectancy to determine the value of the guaranteed income payments. </w:t>
      </w:r>
      <w:r w:rsidR="0016703A">
        <w:t>Taxpayers</w:t>
      </w:r>
      <w:r w:rsidRPr="001D7D92">
        <w:t xml:space="preserve"> seeking out steady, level annuity payouts that are guaranteed regardless of how long they live are often attracted to this type of feature.</w:t>
      </w:r>
    </w:p>
    <w:p w14:paraId="72D69823" w14:textId="77777777" w:rsidR="00481ABB" w:rsidRDefault="00481ABB" w:rsidP="00481ABB">
      <w:pPr>
        <w:ind w:firstLine="360"/>
      </w:pPr>
    </w:p>
    <w:p w14:paraId="2D977C63" w14:textId="2CA6E1E1" w:rsidR="00481ABB" w:rsidRPr="00481ABB" w:rsidRDefault="00481ABB" w:rsidP="00481ABB">
      <w:pPr>
        <w:ind w:firstLine="360"/>
      </w:pPr>
      <w:r w:rsidRPr="00481ABB">
        <w:t xml:space="preserve">One common ground between </w:t>
      </w:r>
      <w:r w:rsidR="0016703A">
        <w:t>a LIBR and GLWB</w:t>
      </w:r>
      <w:r w:rsidRPr="00481ABB">
        <w:t xml:space="preserve"> </w:t>
      </w:r>
      <w:r w:rsidR="0016703A">
        <w:t>is</w:t>
      </w:r>
      <w:r w:rsidRPr="00481ABB">
        <w:t xml:space="preserve"> the fact that the benefit base itself is not available for cash withdrawals. </w:t>
      </w:r>
      <w:r w:rsidR="0016703A">
        <w:t>The benefit base is an</w:t>
      </w:r>
      <w:r w:rsidRPr="00481ABB">
        <w:t xml:space="preserve"> “account” </w:t>
      </w:r>
      <w:r w:rsidR="0016703A">
        <w:t xml:space="preserve">that </w:t>
      </w:r>
      <w:r w:rsidRPr="00481ABB">
        <w:t xml:space="preserve">has no real current cash value to the </w:t>
      </w:r>
      <w:r w:rsidR="0016703A">
        <w:t>taxpayer</w:t>
      </w:r>
      <w:r w:rsidRPr="00481ABB">
        <w:t xml:space="preserve">—meaning that, unlike the accumulation value of the account, the </w:t>
      </w:r>
      <w:r w:rsidR="0016703A">
        <w:t>taxpayer</w:t>
      </w:r>
      <w:r w:rsidRPr="00481ABB">
        <w:t xml:space="preserve"> cannot access this value through </w:t>
      </w:r>
      <w:r w:rsidR="00D470DF">
        <w:t xml:space="preserve">surrendering the contract prior </w:t>
      </w:r>
      <w:r w:rsidRPr="00481ABB">
        <w:t>to the end of the deferral period.</w:t>
      </w:r>
    </w:p>
    <w:p w14:paraId="278BBD9B" w14:textId="77777777" w:rsidR="001D7D92" w:rsidRPr="001D7D92" w:rsidRDefault="001D7D92" w:rsidP="001D7D92">
      <w:pPr>
        <w:rPr>
          <w:b/>
        </w:rPr>
      </w:pPr>
    </w:p>
    <w:p w14:paraId="36F59C68" w14:textId="77777777" w:rsidR="001D7D92" w:rsidRDefault="001D7D92" w:rsidP="001D7D92">
      <w:pPr>
        <w:rPr>
          <w:b/>
        </w:rPr>
      </w:pPr>
    </w:p>
    <w:p w14:paraId="077E04FF" w14:textId="49931FF5" w:rsidR="00565245" w:rsidRPr="001D7D92" w:rsidRDefault="009B6488" w:rsidP="00A06488">
      <w:pPr>
        <w:rPr>
          <w:b/>
        </w:rPr>
      </w:pPr>
      <w:proofErr w:type="gramStart"/>
      <w:r>
        <w:rPr>
          <w:b/>
        </w:rPr>
        <w:t xml:space="preserve">453.01  </w:t>
      </w:r>
      <w:r w:rsidR="00565245" w:rsidRPr="001D7D92">
        <w:rPr>
          <w:b/>
        </w:rPr>
        <w:t>Are</w:t>
      </w:r>
      <w:proofErr w:type="gramEnd"/>
      <w:r w:rsidR="00565245" w:rsidRPr="001D7D92">
        <w:rPr>
          <w:b/>
        </w:rPr>
        <w:t xml:space="preserve"> there any considerations that a taxpayer should be made aware of when  deciding whether to surrender an annuity or accept a buyback offer?</w:t>
      </w:r>
    </w:p>
    <w:p w14:paraId="08925B7E" w14:textId="77777777" w:rsidR="003E6AB8" w:rsidRPr="003A4D37" w:rsidRDefault="003E6AB8"/>
    <w:p w14:paraId="71CCB4BB" w14:textId="372A64E9" w:rsidR="00C161C2" w:rsidRPr="003A4D37" w:rsidRDefault="0016703A" w:rsidP="00C161C2">
      <w:pPr>
        <w:ind w:firstLine="360"/>
      </w:pPr>
      <w:r>
        <w:t>Taxpayers</w:t>
      </w:r>
      <w:r w:rsidR="00C161C2" w:rsidRPr="003A4D37">
        <w:t xml:space="preserve"> who purchased </w:t>
      </w:r>
      <w:r w:rsidR="00C161C2" w:rsidRPr="003A4D37">
        <w:rPr>
          <w:bCs/>
          <w:iCs/>
        </w:rPr>
        <w:t>variable</w:t>
      </w:r>
      <w:r w:rsidR="00C161C2" w:rsidRPr="003A4D37">
        <w:t> annuities with a view toward generating retirement income may be facing buyout offers</w:t>
      </w:r>
      <w:r>
        <w:t xml:space="preserve"> from an issuing insurance company</w:t>
      </w:r>
      <w:r w:rsidR="00C161C2" w:rsidRPr="003A4D37">
        <w:t>, notices that their investment choices are being limited to those that are very conservative, or may simply find themselves facing changed circumstances so that the product no longer makes sense.</w:t>
      </w:r>
    </w:p>
    <w:p w14:paraId="553E6078" w14:textId="77777777" w:rsidR="00C161C2" w:rsidRPr="003A4D37" w:rsidRDefault="00C161C2" w:rsidP="00C161C2">
      <w:pPr>
        <w:ind w:firstLine="360"/>
      </w:pPr>
    </w:p>
    <w:p w14:paraId="5507C338" w14:textId="2D04BFBD" w:rsidR="00C161C2" w:rsidRPr="003A4D37" w:rsidRDefault="00C161C2" w:rsidP="00C161C2">
      <w:pPr>
        <w:ind w:firstLine="360"/>
      </w:pPr>
      <w:r w:rsidRPr="003A4D37">
        <w:t xml:space="preserve">For example, a </w:t>
      </w:r>
      <w:r w:rsidR="0016703A">
        <w:t>taxpayer</w:t>
      </w:r>
      <w:r w:rsidRPr="003A4D37">
        <w:t xml:space="preserve"> who has recently been diagnosed with a disease that is likely to shorten his</w:t>
      </w:r>
      <w:r w:rsidR="0016703A">
        <w:t xml:space="preserve"> or her</w:t>
      </w:r>
      <w:r w:rsidRPr="003A4D37">
        <w:t xml:space="preserve"> life expectancy may find that surrendering the </w:t>
      </w:r>
      <w:r w:rsidRPr="003A4D37">
        <w:rPr>
          <w:bCs/>
          <w:iCs/>
        </w:rPr>
        <w:t>annuity</w:t>
      </w:r>
      <w:r w:rsidRPr="003A4D37">
        <w:t> in exchange for a lump sum payout may better serve his</w:t>
      </w:r>
      <w:r w:rsidR="0016703A">
        <w:t xml:space="preserve"> or her</w:t>
      </w:r>
      <w:r w:rsidRPr="003A4D37">
        <w:t xml:space="preserve"> reduced need for lifetime income. Other </w:t>
      </w:r>
      <w:r w:rsidR="0016703A">
        <w:t>taxpayers</w:t>
      </w:r>
      <w:r w:rsidRPr="003A4D37">
        <w:t xml:space="preserve"> may be facing unanticipated expenses and see the buyout as a way to meet those expenses.</w:t>
      </w:r>
    </w:p>
    <w:p w14:paraId="25D91D34" w14:textId="77777777" w:rsidR="00C161C2" w:rsidRPr="003A4D37" w:rsidRDefault="00C161C2" w:rsidP="00C161C2">
      <w:pPr>
        <w:ind w:firstLine="360"/>
      </w:pPr>
    </w:p>
    <w:p w14:paraId="15420FE9" w14:textId="4D7FBB50" w:rsidR="00C161C2" w:rsidRPr="003A4D37" w:rsidRDefault="0016703A" w:rsidP="00C161C2">
      <w:pPr>
        <w:ind w:firstLine="360"/>
      </w:pPr>
      <w:r>
        <w:lastRenderedPageBreak/>
        <w:t>Taxpayers</w:t>
      </w:r>
      <w:r w:rsidR="00C161C2" w:rsidRPr="003A4D37">
        <w:t xml:space="preserve"> facing the need for an immediate lump sum of cash should also be aware that it may be possible for them to withdraw a portion of the </w:t>
      </w:r>
      <w:r w:rsidR="00C161C2" w:rsidRPr="003A4D37">
        <w:rPr>
          <w:bCs/>
          <w:iCs/>
        </w:rPr>
        <w:t>annuity</w:t>
      </w:r>
      <w:r w:rsidR="00C161C2" w:rsidRPr="003A4D37">
        <w:t>’s assets, keeping only a small part of the initial investment in the </w:t>
      </w:r>
      <w:r w:rsidR="00C161C2" w:rsidRPr="003A4D37">
        <w:rPr>
          <w:bCs/>
          <w:iCs/>
        </w:rPr>
        <w:t>annuity</w:t>
      </w:r>
      <w:r w:rsidR="00C161C2" w:rsidRPr="003A4D37">
        <w:t xml:space="preserve"> to maintain the contract’s death benefit. </w:t>
      </w:r>
      <w:r>
        <w:t>Taxpayers</w:t>
      </w:r>
      <w:r w:rsidR="00C161C2" w:rsidRPr="003A4D37">
        <w:t xml:space="preserve"> who are simply unhappy with the </w:t>
      </w:r>
      <w:r w:rsidR="00C161C2" w:rsidRPr="003A4D37">
        <w:rPr>
          <w:bCs/>
          <w:iCs/>
        </w:rPr>
        <w:t>variable</w:t>
      </w:r>
      <w:r w:rsidR="00C161C2" w:rsidRPr="003A4D37">
        <w:t> </w:t>
      </w:r>
      <w:r w:rsidR="00C161C2" w:rsidRPr="003A4D37">
        <w:rPr>
          <w:bCs/>
          <w:iCs/>
        </w:rPr>
        <w:t>annuity</w:t>
      </w:r>
      <w:r w:rsidR="00C161C2" w:rsidRPr="003A4D37">
        <w:t>’s investment performance may also find this strategy appealing, as they can then invest in another income-producing product while preserving some value in the original </w:t>
      </w:r>
      <w:r w:rsidR="00C161C2" w:rsidRPr="003A4D37">
        <w:rPr>
          <w:bCs/>
          <w:iCs/>
        </w:rPr>
        <w:t>annuity</w:t>
      </w:r>
      <w:r w:rsidR="00C161C2" w:rsidRPr="003A4D37">
        <w:t>.</w:t>
      </w:r>
    </w:p>
    <w:p w14:paraId="22692414" w14:textId="77777777" w:rsidR="00C161C2" w:rsidRPr="003A4D37" w:rsidRDefault="00C161C2" w:rsidP="00C161C2">
      <w:pPr>
        <w:ind w:firstLine="360"/>
      </w:pPr>
    </w:p>
    <w:p w14:paraId="3699E337" w14:textId="4EB0DC52" w:rsidR="00C161C2" w:rsidRPr="003A4D37" w:rsidRDefault="00C161C2" w:rsidP="00C161C2">
      <w:pPr>
        <w:ind w:firstLine="360"/>
      </w:pPr>
      <w:r w:rsidRPr="003A4D37">
        <w:t xml:space="preserve">For </w:t>
      </w:r>
      <w:r w:rsidR="0016703A">
        <w:t>taxpayers</w:t>
      </w:r>
      <w:r w:rsidRPr="003A4D37">
        <w:t xml:space="preserve"> who are still attracted to the income-producing feature of a </w:t>
      </w:r>
      <w:r w:rsidRPr="003A4D37">
        <w:rPr>
          <w:bCs/>
          <w:iCs/>
        </w:rPr>
        <w:t>variable</w:t>
      </w:r>
      <w:r w:rsidRPr="003A4D37">
        <w:t> </w:t>
      </w:r>
      <w:r w:rsidRPr="003A4D37">
        <w:rPr>
          <w:bCs/>
          <w:iCs/>
        </w:rPr>
        <w:t>annuity</w:t>
      </w:r>
      <w:r w:rsidRPr="003A4D37">
        <w:t>, however, it might be best to hold on to the product in the face of a buyout offer, especially if the product offers guaranteed returns that may be unavailable in a replacement product.</w:t>
      </w:r>
    </w:p>
    <w:p w14:paraId="48AE878D" w14:textId="77777777" w:rsidR="00C161C2" w:rsidRPr="003A4D37" w:rsidRDefault="00C161C2" w:rsidP="00C161C2">
      <w:pPr>
        <w:ind w:firstLine="360"/>
      </w:pPr>
    </w:p>
    <w:p w14:paraId="6A930C81" w14:textId="0667CCDF" w:rsidR="00C161C2" w:rsidRPr="003A4D37" w:rsidRDefault="00C161C2" w:rsidP="00C161C2">
      <w:pPr>
        <w:ind w:firstLine="360"/>
      </w:pPr>
      <w:r w:rsidRPr="003A4D37">
        <w:t xml:space="preserve">After a </w:t>
      </w:r>
      <w:r w:rsidR="0016703A">
        <w:t>taxpayer</w:t>
      </w:r>
      <w:r w:rsidRPr="003A4D37">
        <w:t xml:space="preserve"> has determined that his</w:t>
      </w:r>
      <w:r w:rsidR="0016703A">
        <w:t xml:space="preserve"> or her</w:t>
      </w:r>
      <w:r w:rsidRPr="003A4D37">
        <w:t xml:space="preserve"> best </w:t>
      </w:r>
      <w:r w:rsidR="0016703A">
        <w:t>interests will be served by surrendering</w:t>
      </w:r>
      <w:r w:rsidRPr="003A4D37">
        <w:t xml:space="preserve"> the product, the surrender charges associated with the </w:t>
      </w:r>
      <w:r w:rsidRPr="003A4D37">
        <w:rPr>
          <w:bCs/>
          <w:iCs/>
        </w:rPr>
        <w:t>annuity</w:t>
      </w:r>
      <w:r w:rsidRPr="003A4D37">
        <w:t xml:space="preserve"> still must be taken into account. If the </w:t>
      </w:r>
      <w:r w:rsidR="0016703A">
        <w:t>taxpayer</w:t>
      </w:r>
      <w:r w:rsidRPr="003A4D37">
        <w:t xml:space="preserve"> has a buyout offer on the table, it is likely that the insurance company has already offered to waive any surrender charges. If the </w:t>
      </w:r>
      <w:r w:rsidR="0016703A">
        <w:t>taxpayer</w:t>
      </w:r>
      <w:r w:rsidRPr="003A4D37">
        <w:t xml:space="preserve"> has independently decided to surrender, however, he </w:t>
      </w:r>
      <w:r w:rsidR="0016703A">
        <w:t xml:space="preserve">or she </w:t>
      </w:r>
      <w:r w:rsidRPr="003A4D37">
        <w:t xml:space="preserve">may be able to negotiate a waiver, especially if the </w:t>
      </w:r>
      <w:r w:rsidR="0016703A">
        <w:t>taxpayer</w:t>
      </w:r>
      <w:r w:rsidRPr="003A4D37">
        <w:t xml:space="preserve"> agrees to reinvest the recovered </w:t>
      </w:r>
      <w:r w:rsidRPr="003A4D37">
        <w:rPr>
          <w:bCs/>
          <w:iCs/>
        </w:rPr>
        <w:t>annuity</w:t>
      </w:r>
      <w:r w:rsidRPr="003A4D37">
        <w:t xml:space="preserve"> funds with the same </w:t>
      </w:r>
      <w:r w:rsidR="0016703A">
        <w:t>carrier</w:t>
      </w:r>
      <w:r w:rsidRPr="003A4D37">
        <w:t xml:space="preserve"> that issued the surrendered product.</w:t>
      </w:r>
    </w:p>
    <w:p w14:paraId="26539A5D" w14:textId="77777777" w:rsidR="00C161C2" w:rsidRPr="003A4D37" w:rsidRDefault="00C161C2" w:rsidP="00C161C2">
      <w:pPr>
        <w:ind w:firstLine="360"/>
      </w:pPr>
    </w:p>
    <w:p w14:paraId="7055B208" w14:textId="1CDA6C48" w:rsidR="00C161C2" w:rsidRPr="003A4D37" w:rsidRDefault="00C161C2" w:rsidP="00C161C2">
      <w:pPr>
        <w:ind w:firstLine="360"/>
      </w:pPr>
      <w:r w:rsidRPr="003A4D37">
        <w:t xml:space="preserve">It is important that </w:t>
      </w:r>
      <w:r w:rsidR="0016703A">
        <w:t>taxpayers</w:t>
      </w:r>
      <w:r w:rsidRPr="003A4D37">
        <w:t xml:space="preserve"> realize they will owe taxes upon any gain realized at the time of surrender. If the </w:t>
      </w:r>
      <w:r w:rsidR="0016703A">
        <w:t>taxpayer</w:t>
      </w:r>
      <w:r w:rsidRPr="003A4D37">
        <w:t xml:space="preserve"> has only held the </w:t>
      </w:r>
      <w:r w:rsidRPr="003A4D37">
        <w:rPr>
          <w:bCs/>
          <w:iCs/>
        </w:rPr>
        <w:t>annuity</w:t>
      </w:r>
      <w:r w:rsidRPr="003A4D37">
        <w:t> product for a few years, this gain might not be substantial—in fact, many </w:t>
      </w:r>
      <w:r w:rsidRPr="003A4D37">
        <w:rPr>
          <w:bCs/>
          <w:iCs/>
        </w:rPr>
        <w:t>variable</w:t>
      </w:r>
      <w:r w:rsidRPr="003A4D37">
        <w:t> </w:t>
      </w:r>
      <w:r w:rsidRPr="003A4D37">
        <w:rPr>
          <w:bCs/>
          <w:iCs/>
        </w:rPr>
        <w:t>annuity</w:t>
      </w:r>
      <w:r w:rsidRPr="003A4D37">
        <w:t xml:space="preserve"> products that were issued just before the economic downturn in 2008 are just now returning owners to the break-even point. Still, for </w:t>
      </w:r>
      <w:r w:rsidR="0016703A">
        <w:t>taxpayers</w:t>
      </w:r>
      <w:r w:rsidRPr="003A4D37">
        <w:t xml:space="preserve"> who have owned the </w:t>
      </w:r>
      <w:r w:rsidRPr="003A4D37">
        <w:rPr>
          <w:bCs/>
          <w:iCs/>
        </w:rPr>
        <w:t>variable</w:t>
      </w:r>
      <w:r w:rsidRPr="003A4D37">
        <w:t> </w:t>
      </w:r>
      <w:r w:rsidRPr="003A4D37">
        <w:rPr>
          <w:bCs/>
          <w:iCs/>
        </w:rPr>
        <w:t>annuity</w:t>
      </w:r>
      <w:r w:rsidRPr="003A4D37">
        <w:t> for many years, the tax liability can be substantial—especially when the new 3.8 percent investment income tax for high earning taxpayers</w:t>
      </w:r>
      <w:r w:rsidR="0016703A">
        <w:t xml:space="preserve"> (see Q</w:t>
      </w:r>
      <w:r w:rsidR="00A06488">
        <w:t xml:space="preserve"> </w:t>
      </w:r>
      <w:r w:rsidR="0016703A">
        <w:t>8559-Q</w:t>
      </w:r>
      <w:r w:rsidR="00A06488">
        <w:t xml:space="preserve">   </w:t>
      </w:r>
      <w:bookmarkStart w:id="0" w:name="_GoBack"/>
      <w:bookmarkEnd w:id="0"/>
      <w:r w:rsidR="0016703A">
        <w:t>8573)</w:t>
      </w:r>
      <w:r w:rsidRPr="003A4D37">
        <w:t xml:space="preserve"> is taken into account.</w:t>
      </w:r>
    </w:p>
    <w:p w14:paraId="229BCB5A" w14:textId="77777777" w:rsidR="00C161C2" w:rsidRPr="003A4D37" w:rsidRDefault="00C161C2" w:rsidP="00C161C2">
      <w:pPr>
        <w:ind w:firstLine="360"/>
      </w:pPr>
    </w:p>
    <w:p w14:paraId="4DD50BA5" w14:textId="3FA24872" w:rsidR="00C161C2" w:rsidRPr="003A4D37" w:rsidRDefault="00C161C2" w:rsidP="00C161C2">
      <w:pPr>
        <w:ind w:firstLine="360"/>
      </w:pPr>
      <w:r w:rsidRPr="003A4D37">
        <w:t xml:space="preserve">For </w:t>
      </w:r>
      <w:r w:rsidR="0016703A">
        <w:t>taxpayers</w:t>
      </w:r>
      <w:r w:rsidRPr="003A4D37">
        <w:t xml:space="preserve"> who purchased the </w:t>
      </w:r>
      <w:r w:rsidR="0016703A">
        <w:t xml:space="preserve">annuity </w:t>
      </w:r>
      <w:r w:rsidRPr="003A4D37">
        <w:t xml:space="preserve">product within an IRA, the funds can be transferred in a trustee-to-trustee type rollover transaction, which allows the </w:t>
      </w:r>
      <w:r w:rsidR="0016703A">
        <w:t>taxpayer</w:t>
      </w:r>
      <w:r w:rsidRPr="003A4D37">
        <w:t xml:space="preserve"> to defer taxation until the funds are withdrawn from the IRA. Taxation can also be deferred if the </w:t>
      </w:r>
      <w:r w:rsidR="0016703A">
        <w:t>taxpayer</w:t>
      </w:r>
      <w:r w:rsidRPr="003A4D37">
        <w:t xml:space="preserve"> exchanges the undesirable </w:t>
      </w:r>
      <w:r w:rsidRPr="003A4D37">
        <w:rPr>
          <w:bCs/>
          <w:iCs/>
        </w:rPr>
        <w:t>annuity</w:t>
      </w:r>
      <w:r w:rsidRPr="003A4D37">
        <w:t> for another </w:t>
      </w:r>
      <w:r w:rsidRPr="003A4D37">
        <w:rPr>
          <w:bCs/>
          <w:iCs/>
        </w:rPr>
        <w:t xml:space="preserve">annuity </w:t>
      </w:r>
      <w:r w:rsidRPr="003A4D37">
        <w:t>product in a tax-free exchange under IRC Section 1035.</w:t>
      </w:r>
    </w:p>
    <w:p w14:paraId="012C8B84" w14:textId="77777777" w:rsidR="00C161C2" w:rsidRPr="003A4D37" w:rsidRDefault="00C161C2"/>
    <w:sectPr w:rsidR="00C161C2" w:rsidRPr="003A4D37" w:rsidSect="003E6AB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B684A" w14:textId="77777777" w:rsidR="00996DA3" w:rsidRDefault="00996DA3" w:rsidP="00D470DF">
      <w:r>
        <w:separator/>
      </w:r>
    </w:p>
  </w:endnote>
  <w:endnote w:type="continuationSeparator" w:id="0">
    <w:p w14:paraId="7C03B925" w14:textId="77777777" w:rsidR="00996DA3" w:rsidRDefault="00996DA3" w:rsidP="00D4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CFC52" w14:textId="77777777" w:rsidR="00996DA3" w:rsidRDefault="00996DA3" w:rsidP="00D470DF">
      <w:r>
        <w:separator/>
      </w:r>
    </w:p>
  </w:footnote>
  <w:footnote w:type="continuationSeparator" w:id="0">
    <w:p w14:paraId="1C703103" w14:textId="77777777" w:rsidR="00996DA3" w:rsidRDefault="00996DA3" w:rsidP="00D470DF">
      <w:r>
        <w:continuationSeparator/>
      </w:r>
    </w:p>
  </w:footnote>
  <w:footnote w:id="1">
    <w:p w14:paraId="3A2D29E2" w14:textId="1E77824E" w:rsidR="00996DA3" w:rsidRDefault="00996DA3">
      <w:pPr>
        <w:pStyle w:val="FootnoteText"/>
      </w:pPr>
      <w:r>
        <w:rPr>
          <w:rStyle w:val="FootnoteReference"/>
        </w:rPr>
        <w:footnoteRef/>
      </w:r>
      <w:r>
        <w:t xml:space="preserve"> </w:t>
      </w:r>
      <w:r w:rsidRPr="00D470DF">
        <w:rPr>
          <w:sz w:val="16"/>
          <w:szCs w:val="16"/>
        </w:rPr>
        <w:t>IRC Sec. 817(h).</w:t>
      </w:r>
    </w:p>
  </w:footnote>
  <w:footnote w:id="2">
    <w:p w14:paraId="1CD70B60" w14:textId="4DF1EC6A" w:rsidR="00996DA3" w:rsidRPr="00D470DF" w:rsidRDefault="00996DA3">
      <w:pPr>
        <w:pStyle w:val="FootnoteText"/>
        <w:rPr>
          <w:sz w:val="16"/>
          <w:szCs w:val="16"/>
        </w:rPr>
      </w:pPr>
      <w:r>
        <w:rPr>
          <w:rStyle w:val="FootnoteReference"/>
        </w:rPr>
        <w:footnoteRef/>
      </w:r>
      <w:r>
        <w:t xml:space="preserve"> </w:t>
      </w:r>
      <w:r w:rsidRPr="00D470DF">
        <w:rPr>
          <w:sz w:val="16"/>
          <w:szCs w:val="16"/>
        </w:rPr>
        <w:t>Treas. Reg. §1.72-2(b</w:t>
      </w:r>
      <w:proofErr w:type="gramStart"/>
      <w:r w:rsidRPr="00D470DF">
        <w:rPr>
          <w:sz w:val="16"/>
          <w:szCs w:val="16"/>
        </w:rPr>
        <w:t>)(</w:t>
      </w:r>
      <w:proofErr w:type="gramEnd"/>
      <w:r w:rsidRPr="00D470DF">
        <w:rPr>
          <w:sz w:val="16"/>
          <w:szCs w:val="16"/>
        </w:rPr>
        <w:t>3).</w:t>
      </w:r>
    </w:p>
  </w:footnote>
  <w:footnote w:id="3">
    <w:p w14:paraId="36ACE5DD" w14:textId="77777777" w:rsidR="00996DA3" w:rsidRPr="00D470DF" w:rsidRDefault="00996DA3" w:rsidP="00D470DF">
      <w:pPr>
        <w:pStyle w:val="FootnoteText"/>
        <w:rPr>
          <w:sz w:val="16"/>
          <w:szCs w:val="16"/>
        </w:rPr>
      </w:pPr>
      <w:r w:rsidRPr="00D470DF">
        <w:rPr>
          <w:rStyle w:val="FootnoteReference"/>
        </w:rPr>
        <w:footnoteRef/>
      </w:r>
      <w:r w:rsidRPr="00D470DF">
        <w:t xml:space="preserve"> </w:t>
      </w:r>
      <w:r w:rsidRPr="00D470DF">
        <w:rPr>
          <w:sz w:val="16"/>
          <w:szCs w:val="16"/>
        </w:rPr>
        <w:t>IRC Sec. 72(b)(2).</w:t>
      </w:r>
    </w:p>
    <w:p w14:paraId="10CD8286" w14:textId="3F730280" w:rsidR="00996DA3" w:rsidRDefault="00996DA3">
      <w:pPr>
        <w:pStyle w:val="FootnoteText"/>
      </w:pPr>
    </w:p>
  </w:footnote>
  <w:footnote w:id="4">
    <w:p w14:paraId="018AA6B3" w14:textId="28FE323E" w:rsidR="00996DA3" w:rsidRDefault="00996DA3">
      <w:pPr>
        <w:pStyle w:val="FootnoteText"/>
      </w:pPr>
      <w:r>
        <w:rPr>
          <w:rStyle w:val="FootnoteReference"/>
        </w:rPr>
        <w:footnoteRef/>
      </w:r>
      <w:r>
        <w:t xml:space="preserve"> </w:t>
      </w:r>
      <w:r w:rsidRPr="00033375">
        <w:rPr>
          <w:sz w:val="16"/>
          <w:szCs w:val="16"/>
        </w:rPr>
        <w:t>IRC Sec. 5891.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907EC"/>
    <w:multiLevelType w:val="hybridMultilevel"/>
    <w:tmpl w:val="3572E09C"/>
    <w:lvl w:ilvl="0" w:tplc="1240A512">
      <w:start w:val="42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4B2626"/>
    <w:multiLevelType w:val="hybridMultilevel"/>
    <w:tmpl w:val="71847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930780"/>
    <w:multiLevelType w:val="hybridMultilevel"/>
    <w:tmpl w:val="E20C8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5"/>
    <w:rsid w:val="00033375"/>
    <w:rsid w:val="0016703A"/>
    <w:rsid w:val="001D7D92"/>
    <w:rsid w:val="0037586C"/>
    <w:rsid w:val="003A4D37"/>
    <w:rsid w:val="003E6AB8"/>
    <w:rsid w:val="00481ABB"/>
    <w:rsid w:val="00565245"/>
    <w:rsid w:val="005E1EEA"/>
    <w:rsid w:val="00996DA3"/>
    <w:rsid w:val="009B6488"/>
    <w:rsid w:val="00A06488"/>
    <w:rsid w:val="00BF2FD7"/>
    <w:rsid w:val="00C161C2"/>
    <w:rsid w:val="00D470DF"/>
    <w:rsid w:val="00D96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BB54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24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0DF"/>
    <w:pPr>
      <w:ind w:left="720"/>
      <w:contextualSpacing/>
    </w:pPr>
  </w:style>
  <w:style w:type="paragraph" w:styleId="FootnoteText">
    <w:name w:val="footnote text"/>
    <w:basedOn w:val="Normal"/>
    <w:link w:val="FootnoteTextChar"/>
    <w:uiPriority w:val="99"/>
    <w:unhideWhenUsed/>
    <w:rsid w:val="00D470DF"/>
  </w:style>
  <w:style w:type="character" w:customStyle="1" w:styleId="FootnoteTextChar">
    <w:name w:val="Footnote Text Char"/>
    <w:basedOn w:val="DefaultParagraphFont"/>
    <w:link w:val="FootnoteText"/>
    <w:uiPriority w:val="99"/>
    <w:rsid w:val="00D470DF"/>
    <w:rPr>
      <w:rFonts w:ascii="Cambria" w:eastAsia="MS Mincho" w:hAnsi="Cambria" w:cs="Times New Roman"/>
    </w:rPr>
  </w:style>
  <w:style w:type="character" w:styleId="FootnoteReference">
    <w:name w:val="footnote reference"/>
    <w:basedOn w:val="DefaultParagraphFont"/>
    <w:uiPriority w:val="99"/>
    <w:unhideWhenUsed/>
    <w:rsid w:val="00D470DF"/>
    <w:rPr>
      <w:vertAlign w:val="superscript"/>
    </w:rPr>
  </w:style>
  <w:style w:type="paragraph" w:styleId="BalloonText">
    <w:name w:val="Balloon Text"/>
    <w:basedOn w:val="Normal"/>
    <w:link w:val="BalloonTextChar"/>
    <w:uiPriority w:val="99"/>
    <w:semiHidden/>
    <w:unhideWhenUsed/>
    <w:rsid w:val="005E1EEA"/>
    <w:rPr>
      <w:rFonts w:ascii="Tahoma" w:hAnsi="Tahoma" w:cs="Tahoma"/>
      <w:sz w:val="16"/>
      <w:szCs w:val="16"/>
    </w:rPr>
  </w:style>
  <w:style w:type="character" w:customStyle="1" w:styleId="BalloonTextChar">
    <w:name w:val="Balloon Text Char"/>
    <w:basedOn w:val="DefaultParagraphFont"/>
    <w:link w:val="BalloonText"/>
    <w:uiPriority w:val="99"/>
    <w:semiHidden/>
    <w:rsid w:val="005E1EEA"/>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24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0DF"/>
    <w:pPr>
      <w:ind w:left="720"/>
      <w:contextualSpacing/>
    </w:pPr>
  </w:style>
  <w:style w:type="paragraph" w:styleId="FootnoteText">
    <w:name w:val="footnote text"/>
    <w:basedOn w:val="Normal"/>
    <w:link w:val="FootnoteTextChar"/>
    <w:uiPriority w:val="99"/>
    <w:unhideWhenUsed/>
    <w:rsid w:val="00D470DF"/>
  </w:style>
  <w:style w:type="character" w:customStyle="1" w:styleId="FootnoteTextChar">
    <w:name w:val="Footnote Text Char"/>
    <w:basedOn w:val="DefaultParagraphFont"/>
    <w:link w:val="FootnoteText"/>
    <w:uiPriority w:val="99"/>
    <w:rsid w:val="00D470DF"/>
    <w:rPr>
      <w:rFonts w:ascii="Cambria" w:eastAsia="MS Mincho" w:hAnsi="Cambria" w:cs="Times New Roman"/>
    </w:rPr>
  </w:style>
  <w:style w:type="character" w:styleId="FootnoteReference">
    <w:name w:val="footnote reference"/>
    <w:basedOn w:val="DefaultParagraphFont"/>
    <w:uiPriority w:val="99"/>
    <w:unhideWhenUsed/>
    <w:rsid w:val="00D470DF"/>
    <w:rPr>
      <w:vertAlign w:val="superscript"/>
    </w:rPr>
  </w:style>
  <w:style w:type="paragraph" w:styleId="BalloonText">
    <w:name w:val="Balloon Text"/>
    <w:basedOn w:val="Normal"/>
    <w:link w:val="BalloonTextChar"/>
    <w:uiPriority w:val="99"/>
    <w:semiHidden/>
    <w:unhideWhenUsed/>
    <w:rsid w:val="005E1EEA"/>
    <w:rPr>
      <w:rFonts w:ascii="Tahoma" w:hAnsi="Tahoma" w:cs="Tahoma"/>
      <w:sz w:val="16"/>
      <w:szCs w:val="16"/>
    </w:rPr>
  </w:style>
  <w:style w:type="character" w:customStyle="1" w:styleId="BalloonTextChar">
    <w:name w:val="Balloon Text Char"/>
    <w:basedOn w:val="DefaultParagraphFont"/>
    <w:link w:val="BalloonText"/>
    <w:uiPriority w:val="99"/>
    <w:semiHidden/>
    <w:rsid w:val="005E1EEA"/>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1980">
      <w:bodyDiv w:val="1"/>
      <w:marLeft w:val="0"/>
      <w:marRight w:val="0"/>
      <w:marTop w:val="0"/>
      <w:marBottom w:val="0"/>
      <w:divBdr>
        <w:top w:val="none" w:sz="0" w:space="0" w:color="auto"/>
        <w:left w:val="none" w:sz="0" w:space="0" w:color="auto"/>
        <w:bottom w:val="none" w:sz="0" w:space="0" w:color="auto"/>
        <w:right w:val="none" w:sz="0" w:space="0" w:color="auto"/>
      </w:divBdr>
    </w:div>
    <w:div w:id="45640892">
      <w:bodyDiv w:val="1"/>
      <w:marLeft w:val="0"/>
      <w:marRight w:val="0"/>
      <w:marTop w:val="0"/>
      <w:marBottom w:val="0"/>
      <w:divBdr>
        <w:top w:val="none" w:sz="0" w:space="0" w:color="auto"/>
        <w:left w:val="none" w:sz="0" w:space="0" w:color="auto"/>
        <w:bottom w:val="none" w:sz="0" w:space="0" w:color="auto"/>
        <w:right w:val="none" w:sz="0" w:space="0" w:color="auto"/>
      </w:divBdr>
    </w:div>
    <w:div w:id="192575489">
      <w:bodyDiv w:val="1"/>
      <w:marLeft w:val="0"/>
      <w:marRight w:val="0"/>
      <w:marTop w:val="0"/>
      <w:marBottom w:val="0"/>
      <w:divBdr>
        <w:top w:val="none" w:sz="0" w:space="0" w:color="auto"/>
        <w:left w:val="none" w:sz="0" w:space="0" w:color="auto"/>
        <w:bottom w:val="none" w:sz="0" w:space="0" w:color="auto"/>
        <w:right w:val="none" w:sz="0" w:space="0" w:color="auto"/>
      </w:divBdr>
    </w:div>
    <w:div w:id="239951558">
      <w:bodyDiv w:val="1"/>
      <w:marLeft w:val="0"/>
      <w:marRight w:val="0"/>
      <w:marTop w:val="0"/>
      <w:marBottom w:val="0"/>
      <w:divBdr>
        <w:top w:val="none" w:sz="0" w:space="0" w:color="auto"/>
        <w:left w:val="none" w:sz="0" w:space="0" w:color="auto"/>
        <w:bottom w:val="none" w:sz="0" w:space="0" w:color="auto"/>
        <w:right w:val="none" w:sz="0" w:space="0" w:color="auto"/>
      </w:divBdr>
    </w:div>
    <w:div w:id="410540562">
      <w:bodyDiv w:val="1"/>
      <w:marLeft w:val="0"/>
      <w:marRight w:val="0"/>
      <w:marTop w:val="0"/>
      <w:marBottom w:val="0"/>
      <w:divBdr>
        <w:top w:val="none" w:sz="0" w:space="0" w:color="auto"/>
        <w:left w:val="none" w:sz="0" w:space="0" w:color="auto"/>
        <w:bottom w:val="none" w:sz="0" w:space="0" w:color="auto"/>
        <w:right w:val="none" w:sz="0" w:space="0" w:color="auto"/>
      </w:divBdr>
    </w:div>
    <w:div w:id="483863903">
      <w:bodyDiv w:val="1"/>
      <w:marLeft w:val="0"/>
      <w:marRight w:val="0"/>
      <w:marTop w:val="0"/>
      <w:marBottom w:val="0"/>
      <w:divBdr>
        <w:top w:val="none" w:sz="0" w:space="0" w:color="auto"/>
        <w:left w:val="none" w:sz="0" w:space="0" w:color="auto"/>
        <w:bottom w:val="none" w:sz="0" w:space="0" w:color="auto"/>
        <w:right w:val="none" w:sz="0" w:space="0" w:color="auto"/>
      </w:divBdr>
    </w:div>
    <w:div w:id="587540421">
      <w:bodyDiv w:val="1"/>
      <w:marLeft w:val="0"/>
      <w:marRight w:val="0"/>
      <w:marTop w:val="0"/>
      <w:marBottom w:val="0"/>
      <w:divBdr>
        <w:top w:val="none" w:sz="0" w:space="0" w:color="auto"/>
        <w:left w:val="none" w:sz="0" w:space="0" w:color="auto"/>
        <w:bottom w:val="none" w:sz="0" w:space="0" w:color="auto"/>
        <w:right w:val="none" w:sz="0" w:space="0" w:color="auto"/>
      </w:divBdr>
    </w:div>
    <w:div w:id="647633317">
      <w:bodyDiv w:val="1"/>
      <w:marLeft w:val="0"/>
      <w:marRight w:val="0"/>
      <w:marTop w:val="0"/>
      <w:marBottom w:val="0"/>
      <w:divBdr>
        <w:top w:val="none" w:sz="0" w:space="0" w:color="auto"/>
        <w:left w:val="none" w:sz="0" w:space="0" w:color="auto"/>
        <w:bottom w:val="none" w:sz="0" w:space="0" w:color="auto"/>
        <w:right w:val="none" w:sz="0" w:space="0" w:color="auto"/>
      </w:divBdr>
    </w:div>
    <w:div w:id="648481236">
      <w:bodyDiv w:val="1"/>
      <w:marLeft w:val="0"/>
      <w:marRight w:val="0"/>
      <w:marTop w:val="0"/>
      <w:marBottom w:val="0"/>
      <w:divBdr>
        <w:top w:val="none" w:sz="0" w:space="0" w:color="auto"/>
        <w:left w:val="none" w:sz="0" w:space="0" w:color="auto"/>
        <w:bottom w:val="none" w:sz="0" w:space="0" w:color="auto"/>
        <w:right w:val="none" w:sz="0" w:space="0" w:color="auto"/>
      </w:divBdr>
    </w:div>
    <w:div w:id="889847990">
      <w:bodyDiv w:val="1"/>
      <w:marLeft w:val="0"/>
      <w:marRight w:val="0"/>
      <w:marTop w:val="0"/>
      <w:marBottom w:val="0"/>
      <w:divBdr>
        <w:top w:val="none" w:sz="0" w:space="0" w:color="auto"/>
        <w:left w:val="none" w:sz="0" w:space="0" w:color="auto"/>
        <w:bottom w:val="none" w:sz="0" w:space="0" w:color="auto"/>
        <w:right w:val="none" w:sz="0" w:space="0" w:color="auto"/>
      </w:divBdr>
    </w:div>
    <w:div w:id="919679853">
      <w:bodyDiv w:val="1"/>
      <w:marLeft w:val="0"/>
      <w:marRight w:val="0"/>
      <w:marTop w:val="0"/>
      <w:marBottom w:val="0"/>
      <w:divBdr>
        <w:top w:val="none" w:sz="0" w:space="0" w:color="auto"/>
        <w:left w:val="none" w:sz="0" w:space="0" w:color="auto"/>
        <w:bottom w:val="none" w:sz="0" w:space="0" w:color="auto"/>
        <w:right w:val="none" w:sz="0" w:space="0" w:color="auto"/>
      </w:divBdr>
    </w:div>
    <w:div w:id="935096888">
      <w:bodyDiv w:val="1"/>
      <w:marLeft w:val="0"/>
      <w:marRight w:val="0"/>
      <w:marTop w:val="0"/>
      <w:marBottom w:val="0"/>
      <w:divBdr>
        <w:top w:val="none" w:sz="0" w:space="0" w:color="auto"/>
        <w:left w:val="none" w:sz="0" w:space="0" w:color="auto"/>
        <w:bottom w:val="none" w:sz="0" w:space="0" w:color="auto"/>
        <w:right w:val="none" w:sz="0" w:space="0" w:color="auto"/>
      </w:divBdr>
    </w:div>
    <w:div w:id="954798089">
      <w:bodyDiv w:val="1"/>
      <w:marLeft w:val="0"/>
      <w:marRight w:val="0"/>
      <w:marTop w:val="0"/>
      <w:marBottom w:val="0"/>
      <w:divBdr>
        <w:top w:val="none" w:sz="0" w:space="0" w:color="auto"/>
        <w:left w:val="none" w:sz="0" w:space="0" w:color="auto"/>
        <w:bottom w:val="none" w:sz="0" w:space="0" w:color="auto"/>
        <w:right w:val="none" w:sz="0" w:space="0" w:color="auto"/>
      </w:divBdr>
    </w:div>
    <w:div w:id="992223411">
      <w:bodyDiv w:val="1"/>
      <w:marLeft w:val="0"/>
      <w:marRight w:val="0"/>
      <w:marTop w:val="0"/>
      <w:marBottom w:val="0"/>
      <w:divBdr>
        <w:top w:val="none" w:sz="0" w:space="0" w:color="auto"/>
        <w:left w:val="none" w:sz="0" w:space="0" w:color="auto"/>
        <w:bottom w:val="none" w:sz="0" w:space="0" w:color="auto"/>
        <w:right w:val="none" w:sz="0" w:space="0" w:color="auto"/>
      </w:divBdr>
    </w:div>
    <w:div w:id="1007903196">
      <w:bodyDiv w:val="1"/>
      <w:marLeft w:val="0"/>
      <w:marRight w:val="0"/>
      <w:marTop w:val="0"/>
      <w:marBottom w:val="0"/>
      <w:divBdr>
        <w:top w:val="none" w:sz="0" w:space="0" w:color="auto"/>
        <w:left w:val="none" w:sz="0" w:space="0" w:color="auto"/>
        <w:bottom w:val="none" w:sz="0" w:space="0" w:color="auto"/>
        <w:right w:val="none" w:sz="0" w:space="0" w:color="auto"/>
      </w:divBdr>
    </w:div>
    <w:div w:id="1091121352">
      <w:bodyDiv w:val="1"/>
      <w:marLeft w:val="0"/>
      <w:marRight w:val="0"/>
      <w:marTop w:val="0"/>
      <w:marBottom w:val="0"/>
      <w:divBdr>
        <w:top w:val="none" w:sz="0" w:space="0" w:color="auto"/>
        <w:left w:val="none" w:sz="0" w:space="0" w:color="auto"/>
        <w:bottom w:val="none" w:sz="0" w:space="0" w:color="auto"/>
        <w:right w:val="none" w:sz="0" w:space="0" w:color="auto"/>
      </w:divBdr>
    </w:div>
    <w:div w:id="1110929824">
      <w:bodyDiv w:val="1"/>
      <w:marLeft w:val="0"/>
      <w:marRight w:val="0"/>
      <w:marTop w:val="0"/>
      <w:marBottom w:val="0"/>
      <w:divBdr>
        <w:top w:val="none" w:sz="0" w:space="0" w:color="auto"/>
        <w:left w:val="none" w:sz="0" w:space="0" w:color="auto"/>
        <w:bottom w:val="none" w:sz="0" w:space="0" w:color="auto"/>
        <w:right w:val="none" w:sz="0" w:space="0" w:color="auto"/>
      </w:divBdr>
    </w:div>
    <w:div w:id="1138763747">
      <w:bodyDiv w:val="1"/>
      <w:marLeft w:val="0"/>
      <w:marRight w:val="0"/>
      <w:marTop w:val="0"/>
      <w:marBottom w:val="0"/>
      <w:divBdr>
        <w:top w:val="none" w:sz="0" w:space="0" w:color="auto"/>
        <w:left w:val="none" w:sz="0" w:space="0" w:color="auto"/>
        <w:bottom w:val="none" w:sz="0" w:space="0" w:color="auto"/>
        <w:right w:val="none" w:sz="0" w:space="0" w:color="auto"/>
      </w:divBdr>
    </w:div>
    <w:div w:id="1293097241">
      <w:bodyDiv w:val="1"/>
      <w:marLeft w:val="0"/>
      <w:marRight w:val="0"/>
      <w:marTop w:val="0"/>
      <w:marBottom w:val="0"/>
      <w:divBdr>
        <w:top w:val="none" w:sz="0" w:space="0" w:color="auto"/>
        <w:left w:val="none" w:sz="0" w:space="0" w:color="auto"/>
        <w:bottom w:val="none" w:sz="0" w:space="0" w:color="auto"/>
        <w:right w:val="none" w:sz="0" w:space="0" w:color="auto"/>
      </w:divBdr>
    </w:div>
    <w:div w:id="1367367116">
      <w:bodyDiv w:val="1"/>
      <w:marLeft w:val="0"/>
      <w:marRight w:val="0"/>
      <w:marTop w:val="0"/>
      <w:marBottom w:val="0"/>
      <w:divBdr>
        <w:top w:val="none" w:sz="0" w:space="0" w:color="auto"/>
        <w:left w:val="none" w:sz="0" w:space="0" w:color="auto"/>
        <w:bottom w:val="none" w:sz="0" w:space="0" w:color="auto"/>
        <w:right w:val="none" w:sz="0" w:space="0" w:color="auto"/>
      </w:divBdr>
    </w:div>
    <w:div w:id="1551305044">
      <w:bodyDiv w:val="1"/>
      <w:marLeft w:val="0"/>
      <w:marRight w:val="0"/>
      <w:marTop w:val="0"/>
      <w:marBottom w:val="0"/>
      <w:divBdr>
        <w:top w:val="none" w:sz="0" w:space="0" w:color="auto"/>
        <w:left w:val="none" w:sz="0" w:space="0" w:color="auto"/>
        <w:bottom w:val="none" w:sz="0" w:space="0" w:color="auto"/>
        <w:right w:val="none" w:sz="0" w:space="0" w:color="auto"/>
      </w:divBdr>
    </w:div>
    <w:div w:id="1593005006">
      <w:bodyDiv w:val="1"/>
      <w:marLeft w:val="0"/>
      <w:marRight w:val="0"/>
      <w:marTop w:val="0"/>
      <w:marBottom w:val="0"/>
      <w:divBdr>
        <w:top w:val="none" w:sz="0" w:space="0" w:color="auto"/>
        <w:left w:val="none" w:sz="0" w:space="0" w:color="auto"/>
        <w:bottom w:val="none" w:sz="0" w:space="0" w:color="auto"/>
        <w:right w:val="none" w:sz="0" w:space="0" w:color="auto"/>
      </w:divBdr>
    </w:div>
    <w:div w:id="1674916740">
      <w:bodyDiv w:val="1"/>
      <w:marLeft w:val="0"/>
      <w:marRight w:val="0"/>
      <w:marTop w:val="0"/>
      <w:marBottom w:val="0"/>
      <w:divBdr>
        <w:top w:val="none" w:sz="0" w:space="0" w:color="auto"/>
        <w:left w:val="none" w:sz="0" w:space="0" w:color="auto"/>
        <w:bottom w:val="none" w:sz="0" w:space="0" w:color="auto"/>
        <w:right w:val="none" w:sz="0" w:space="0" w:color="auto"/>
      </w:divBdr>
    </w:div>
    <w:div w:id="1786197695">
      <w:bodyDiv w:val="1"/>
      <w:marLeft w:val="0"/>
      <w:marRight w:val="0"/>
      <w:marTop w:val="0"/>
      <w:marBottom w:val="0"/>
      <w:divBdr>
        <w:top w:val="none" w:sz="0" w:space="0" w:color="auto"/>
        <w:left w:val="none" w:sz="0" w:space="0" w:color="auto"/>
        <w:bottom w:val="none" w:sz="0" w:space="0" w:color="auto"/>
        <w:right w:val="none" w:sz="0" w:space="0" w:color="auto"/>
      </w:divBdr>
    </w:div>
    <w:div w:id="1855801031">
      <w:bodyDiv w:val="1"/>
      <w:marLeft w:val="0"/>
      <w:marRight w:val="0"/>
      <w:marTop w:val="0"/>
      <w:marBottom w:val="0"/>
      <w:divBdr>
        <w:top w:val="none" w:sz="0" w:space="0" w:color="auto"/>
        <w:left w:val="none" w:sz="0" w:space="0" w:color="auto"/>
        <w:bottom w:val="none" w:sz="0" w:space="0" w:color="auto"/>
        <w:right w:val="none" w:sz="0" w:space="0" w:color="auto"/>
      </w:divBdr>
    </w:div>
    <w:div w:id="1892300063">
      <w:bodyDiv w:val="1"/>
      <w:marLeft w:val="0"/>
      <w:marRight w:val="0"/>
      <w:marTop w:val="0"/>
      <w:marBottom w:val="0"/>
      <w:divBdr>
        <w:top w:val="none" w:sz="0" w:space="0" w:color="auto"/>
        <w:left w:val="none" w:sz="0" w:space="0" w:color="auto"/>
        <w:bottom w:val="none" w:sz="0" w:space="0" w:color="auto"/>
        <w:right w:val="none" w:sz="0" w:space="0" w:color="auto"/>
      </w:divBdr>
    </w:div>
    <w:div w:id="1939757137">
      <w:bodyDiv w:val="1"/>
      <w:marLeft w:val="0"/>
      <w:marRight w:val="0"/>
      <w:marTop w:val="0"/>
      <w:marBottom w:val="0"/>
      <w:divBdr>
        <w:top w:val="none" w:sz="0" w:space="0" w:color="auto"/>
        <w:left w:val="none" w:sz="0" w:space="0" w:color="auto"/>
        <w:bottom w:val="none" w:sz="0" w:space="0" w:color="auto"/>
        <w:right w:val="none" w:sz="0" w:space="0" w:color="auto"/>
      </w:divBdr>
    </w:div>
    <w:div w:id="2020621109">
      <w:bodyDiv w:val="1"/>
      <w:marLeft w:val="0"/>
      <w:marRight w:val="0"/>
      <w:marTop w:val="0"/>
      <w:marBottom w:val="0"/>
      <w:divBdr>
        <w:top w:val="none" w:sz="0" w:space="0" w:color="auto"/>
        <w:left w:val="none" w:sz="0" w:space="0" w:color="auto"/>
        <w:bottom w:val="none" w:sz="0" w:space="0" w:color="auto"/>
        <w:right w:val="none" w:sz="0" w:space="0" w:color="auto"/>
      </w:divBdr>
    </w:div>
    <w:div w:id="2062947319">
      <w:bodyDiv w:val="1"/>
      <w:marLeft w:val="0"/>
      <w:marRight w:val="0"/>
      <w:marTop w:val="0"/>
      <w:marBottom w:val="0"/>
      <w:divBdr>
        <w:top w:val="none" w:sz="0" w:space="0" w:color="auto"/>
        <w:left w:val="none" w:sz="0" w:space="0" w:color="auto"/>
        <w:bottom w:val="none" w:sz="0" w:space="0" w:color="auto"/>
        <w:right w:val="none" w:sz="0" w:space="0" w:color="auto"/>
      </w:divBdr>
    </w:div>
    <w:div w:id="2093771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3821E-1081-4435-A037-D12FF4511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3008</Words>
  <Characters>17151</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20119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Long</dc:creator>
  <cp:lastModifiedBy>rcline</cp:lastModifiedBy>
  <cp:revision>2</cp:revision>
  <cp:lastPrinted>2014-08-22T15:46:00Z</cp:lastPrinted>
  <dcterms:created xsi:type="dcterms:W3CDTF">2014-08-22T16:58:00Z</dcterms:created>
  <dcterms:modified xsi:type="dcterms:W3CDTF">2014-08-22T16:58:00Z</dcterms:modified>
</cp:coreProperties>
</file>