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A4" w:rsidRDefault="00CD44A4" w:rsidP="00E8192D">
      <w:pPr>
        <w:pStyle w:val="Title1"/>
        <w:rPr>
          <w:rFonts w:eastAsia="Arial Unicode MS"/>
        </w:rPr>
      </w:pPr>
      <w:r>
        <w:rPr>
          <w:rFonts w:eastAsia="Arial Unicode MS"/>
        </w:rPr>
        <w:t>Variable and Variable Universal Life</w:t>
      </w:r>
    </w:p>
    <w:p w:rsidR="00CD44A4" w:rsidRDefault="00CD44A4" w:rsidP="00E8192D">
      <w:pPr>
        <w:pStyle w:val="Heading1"/>
        <w:rPr>
          <w:rFonts w:eastAsia="Arial Unicode MS"/>
        </w:rPr>
      </w:pPr>
      <w:r>
        <w:rPr>
          <w:rFonts w:eastAsia="Arial Unicode MS"/>
        </w:rPr>
        <w:t>Introduction</w:t>
      </w:r>
    </w:p>
    <w:p w:rsidR="00CD44A4" w:rsidRDefault="00CD44A4" w:rsidP="00E8192D">
      <w:pPr>
        <w:pStyle w:val="NUHeading2"/>
        <w:rPr>
          <w:rFonts w:eastAsia="Arial Unicode MS"/>
        </w:rPr>
      </w:pPr>
      <w:r>
        <w:rPr>
          <w:rFonts w:eastAsia="Arial Unicode MS"/>
        </w:rPr>
        <w:t>Variable Life</w:t>
      </w:r>
    </w:p>
    <w:p w:rsidR="00CD44A4" w:rsidRDefault="00CD44A4" w:rsidP="00E8192D">
      <w:pPr>
        <w:pStyle w:val="Body"/>
        <w:rPr>
          <w:rFonts w:eastAsia="Arial Unicode MS"/>
        </w:rPr>
      </w:pPr>
      <w:r>
        <w:rPr>
          <w:rFonts w:eastAsia="Arial Unicode MS"/>
        </w:rPr>
        <w:t>Variable Life (VL) insurance combines traditional whole life insurance with mutual fund type investments. Basically, it is a whole life policy where the policyowner may direct the investment of cash values among a variety of different investments.</w:t>
      </w:r>
    </w:p>
    <w:p w:rsidR="00CD44A4" w:rsidRDefault="00CD44A4" w:rsidP="00E8192D">
      <w:pPr>
        <w:pStyle w:val="Body"/>
        <w:rPr>
          <w:rFonts w:eastAsia="Arial Unicode MS"/>
        </w:rPr>
      </w:pPr>
      <w:r>
        <w:rPr>
          <w:rFonts w:eastAsia="Arial Unicode MS"/>
        </w:rPr>
        <w:t>VL has a guaranteed minimum face amount and a level premium like traditional whole life insurance, but it differs in three respects:</w:t>
      </w:r>
    </w:p>
    <w:p w:rsidR="00CD44A4" w:rsidRDefault="00CD44A4" w:rsidP="00E8192D">
      <w:pPr>
        <w:pStyle w:val="List"/>
        <w:rPr>
          <w:rFonts w:eastAsia="Arial Unicode MS"/>
        </w:rPr>
      </w:pPr>
      <w:r>
        <w:rPr>
          <w:rFonts w:eastAsia="Arial Unicode MS"/>
        </w:rPr>
        <w:t>1.</w:t>
      </w:r>
      <w:r>
        <w:rPr>
          <w:rFonts w:eastAsia="Arial Unicode MS"/>
        </w:rPr>
        <w:tab/>
        <w:t>The policyowner’s funds are placed in separate accounts that are distinct and separate from the company’s general investment fund.</w:t>
      </w:r>
    </w:p>
    <w:p w:rsidR="00CD44A4" w:rsidRDefault="00CD44A4" w:rsidP="00E8192D">
      <w:pPr>
        <w:pStyle w:val="BodyTextIndent"/>
        <w:rPr>
          <w:rFonts w:eastAsia="Arial Unicode MS"/>
        </w:rPr>
      </w:pPr>
      <w:r>
        <w:rPr>
          <w:rFonts w:eastAsia="Arial Unicode MS"/>
        </w:rPr>
        <w:t>Insurers place policyowner premiums, less an expense or sales load and a mortality charge, into a separate investment account. The policyowner may choose to invest premiums and cash values among several mutual-fund type alternatives, typically including, at a minimum, stock funds, bond funds, and money market funds. Many companies that market VL offer a broader array of investment options such as foreign stock funds, bond funds, GNMA funds, real estate funds, zero-coupon bond funds, and specialized funds such as small capitalization stock funds, market-index funds, and funds that focus on specific sectors of the economy or industries (medical, high tech, gold, leisure, utilities, etc.). Some companies offer a managed fund option where the company’s investment manager assumes the responsibility for allocating investments among the various alternative funds. Some VL policies also offer a guaranteed interest option similar to the declared interest rate on universal life policies. Policyowners typically may switch or rebalance their investments among the funds one or more times per year.</w:t>
      </w:r>
    </w:p>
    <w:p w:rsidR="00CD44A4" w:rsidRDefault="00CD44A4" w:rsidP="00E8192D">
      <w:pPr>
        <w:pStyle w:val="List"/>
        <w:rPr>
          <w:rFonts w:eastAsia="Arial Unicode MS"/>
        </w:rPr>
      </w:pPr>
      <w:r>
        <w:rPr>
          <w:rFonts w:eastAsia="Arial Unicode MS"/>
        </w:rPr>
        <w:t>2.</w:t>
      </w:r>
      <w:r>
        <w:rPr>
          <w:rFonts w:eastAsia="Arial Unicode MS"/>
        </w:rPr>
        <w:tab/>
        <w:t>The insurer does not guaranteed a minimum cash value.</w:t>
      </w:r>
    </w:p>
    <w:p w:rsidR="00CD44A4" w:rsidRDefault="00CD44A4" w:rsidP="00E8192D">
      <w:pPr>
        <w:pStyle w:val="BodyTextIndent"/>
        <w:rPr>
          <w:rFonts w:eastAsia="Arial Unicode MS"/>
        </w:rPr>
      </w:pPr>
      <w:r>
        <w:rPr>
          <w:rFonts w:eastAsia="Arial Unicode MS"/>
        </w:rPr>
        <w:t xml:space="preserve">The cash value at any point in time is based on the market value of the assets in the separate account. VL policyowners bear </w:t>
      </w:r>
      <w:r>
        <w:rPr>
          <w:rFonts w:eastAsia="Arial Unicode MS"/>
          <w:i/>
        </w:rPr>
        <w:t>all</w:t>
      </w:r>
      <w:r>
        <w:rPr>
          <w:rFonts w:eastAsia="Arial Unicode MS"/>
        </w:rPr>
        <w:t xml:space="preserve"> the investment risk associated with the policy.</w:t>
      </w:r>
    </w:p>
    <w:p w:rsidR="00CD44A4" w:rsidRDefault="00CD44A4" w:rsidP="00E8192D">
      <w:pPr>
        <w:pStyle w:val="List"/>
        <w:rPr>
          <w:rFonts w:eastAsia="Arial Unicode MS"/>
        </w:rPr>
      </w:pPr>
      <w:r>
        <w:rPr>
          <w:rFonts w:eastAsia="Arial Unicode MS"/>
        </w:rPr>
        <w:t>3.</w:t>
      </w:r>
      <w:r>
        <w:rPr>
          <w:rFonts w:eastAsia="Arial Unicode MS"/>
        </w:rPr>
        <w:tab/>
        <w:t>The death benefit is variable.</w:t>
      </w:r>
    </w:p>
    <w:p w:rsidR="005A6A74" w:rsidRDefault="00CD44A4" w:rsidP="00E8192D">
      <w:pPr>
        <w:pStyle w:val="BodyTextIndent"/>
        <w:rPr>
          <w:rFonts w:eastAsia="Arial Unicode MS"/>
        </w:rPr>
      </w:pPr>
      <w:r>
        <w:rPr>
          <w:rFonts w:eastAsia="Arial Unicode MS"/>
        </w:rPr>
        <w:t xml:space="preserve">The face value may increase or decrease but not below the guaranteed minimum (based on a formula that relates the investment performance of the separate account to the face value). Companies use two methods to establish the relationship </w:t>
      </w:r>
      <w:r w:rsidR="005A6A74">
        <w:rPr>
          <w:rFonts w:eastAsia="Arial Unicode MS"/>
        </w:rPr>
        <w:br w:type="page"/>
      </w:r>
    </w:p>
    <w:p w:rsidR="005A6A74" w:rsidRDefault="005A6A74" w:rsidP="005A6A74">
      <w:pPr>
        <w:pStyle w:val="Title2"/>
      </w:pPr>
      <w:r>
        <w:lastRenderedPageBreak/>
        <w:t>Variable and Variable Universal Life</w:t>
      </w:r>
    </w:p>
    <w:p w:rsidR="00CD44A4" w:rsidRDefault="00B4004F" w:rsidP="00E8192D">
      <w:pPr>
        <w:pStyle w:val="BodyTextIndent"/>
        <w:rPr>
          <w:rFonts w:eastAsia="Arial Unicode MS"/>
        </w:rPr>
      </w:pPr>
      <w:proofErr w:type="gramStart"/>
      <w:r>
        <w:rPr>
          <w:rFonts w:eastAsia="Arial Unicode MS"/>
        </w:rPr>
        <w:t>between</w:t>
      </w:r>
      <w:proofErr w:type="gramEnd"/>
      <w:r>
        <w:rPr>
          <w:rFonts w:eastAsia="Arial Unicode MS"/>
        </w:rPr>
        <w:t xml:space="preserve"> the investment performance and the face amount. Under what is called the corridor percentage </w:t>
      </w:r>
      <w:r w:rsidR="00CD44A4">
        <w:rPr>
          <w:rFonts w:eastAsia="Arial Unicode MS"/>
        </w:rPr>
        <w:t>approach, the insurer periodically adjusts the death benefit so that it is at least equal to a specified percentage of the cash value, as required by current tax law.</w:t>
      </w:r>
      <w:r w:rsidR="00CD44A4" w:rsidRPr="007D46BA">
        <w:rPr>
          <w:rStyle w:val="EndnoteReference"/>
          <w:rFonts w:eastAsia="Arial Unicode MS"/>
        </w:rPr>
        <w:endnoteReference w:id="1"/>
      </w:r>
      <w:r w:rsidR="00CD44A4">
        <w:rPr>
          <w:rFonts w:eastAsia="Arial Unicode MS"/>
        </w:rPr>
        <w:t xml:space="preserve"> The mandated corridor percentage is 250 percent until the insured reaches age 40 or so and then gradually declines to 100 percent by age 95, typically.</w:t>
      </w:r>
    </w:p>
    <w:p w:rsidR="00CD44A4" w:rsidRDefault="00CD44A4" w:rsidP="00E8192D">
      <w:pPr>
        <w:pStyle w:val="BodyTextIndent"/>
        <w:rPr>
          <w:rFonts w:eastAsia="Arial Unicode MS"/>
        </w:rPr>
      </w:pPr>
      <w:proofErr w:type="gramStart"/>
      <w:r>
        <w:rPr>
          <w:rFonts w:eastAsia="Arial Unicode MS"/>
          <w:i/>
        </w:rPr>
        <w:t>Example.</w:t>
      </w:r>
      <w:proofErr w:type="gramEnd"/>
      <w:r>
        <w:rPr>
          <w:rFonts w:eastAsia="Arial Unicode MS"/>
        </w:rPr>
        <w:t xml:space="preserve"> Assume the cash value is $40,000 at the beginning of the period and $50,000 at the end of the period. The insured is 60 years old. The initial death benefit is $52,000 and the corridor percentage factor is 130 percent. At the end of the period, the death benefit will be $65,000, or 130 percent of $50,000.</w:t>
      </w:r>
    </w:p>
    <w:p w:rsidR="00CD44A4" w:rsidRDefault="00CD44A4" w:rsidP="00E8192D">
      <w:pPr>
        <w:pStyle w:val="BodyTextIndent"/>
        <w:rPr>
          <w:rFonts w:eastAsia="Arial Unicode MS"/>
        </w:rPr>
      </w:pPr>
      <w:r>
        <w:rPr>
          <w:rFonts w:eastAsia="Arial Unicode MS"/>
        </w:rPr>
        <w:t>Under what is called the net single premium approach insurers adjust the death benefit so that it matches the amount of insurance that the policyowner could purchase with a single premium equal to the cash value, assuming guaranteed mortality rates and a low rate of return, typically 4 percent.</w:t>
      </w:r>
    </w:p>
    <w:p w:rsidR="00CD44A4" w:rsidRDefault="00CD44A4" w:rsidP="00E8192D">
      <w:pPr>
        <w:pStyle w:val="BodyTextIndent"/>
        <w:rPr>
          <w:rFonts w:eastAsia="Arial Unicode MS"/>
        </w:rPr>
      </w:pPr>
      <w:proofErr w:type="gramStart"/>
      <w:r>
        <w:rPr>
          <w:rFonts w:eastAsia="Arial Unicode MS"/>
          <w:i/>
        </w:rPr>
        <w:t>Example.</w:t>
      </w:r>
      <w:proofErr w:type="gramEnd"/>
      <w:r>
        <w:rPr>
          <w:rFonts w:eastAsia="Arial Unicode MS"/>
        </w:rPr>
        <w:t xml:space="preserve"> Assume the net single premium factor in the example above is 0.65374. That is, it takes $0.65374 to buy $1 of insurance for life. At the end of the period, the death benefit will be $50,000/0.65374, or $76,483.</w:t>
      </w:r>
    </w:p>
    <w:p w:rsidR="00CD44A4" w:rsidRDefault="00CD44A4" w:rsidP="00E8192D">
      <w:pPr>
        <w:pStyle w:val="Body"/>
        <w:rPr>
          <w:rFonts w:eastAsia="Arial Unicode MS"/>
        </w:rPr>
      </w:pPr>
      <w:r>
        <w:rPr>
          <w:rFonts w:eastAsia="Arial Unicode MS"/>
        </w:rPr>
        <w:t>Although both methods are equally valid, most policyowners find the corridor percentage method easier to understand.</w:t>
      </w:r>
    </w:p>
    <w:p w:rsidR="00CD44A4" w:rsidRDefault="00CD44A4" w:rsidP="00E8192D">
      <w:pPr>
        <w:pStyle w:val="Body"/>
        <w:rPr>
          <w:rFonts w:eastAsia="Arial Unicode MS"/>
        </w:rPr>
      </w:pPr>
      <w:r>
        <w:rPr>
          <w:rFonts w:eastAsia="Arial Unicode MS"/>
        </w:rPr>
        <w:t>VL has most of the usual features of traditional level premium life insurance including guaranteed maximum mortality charges, nonforfeiture values, a policy loan provision, a reinstatement period, and settlement options.</w:t>
      </w:r>
    </w:p>
    <w:p w:rsidR="00CD44A4" w:rsidRDefault="00CD44A4" w:rsidP="00E8192D">
      <w:pPr>
        <w:pStyle w:val="Body"/>
        <w:rPr>
          <w:rFonts w:eastAsia="Arial Unicode MS"/>
        </w:rPr>
      </w:pPr>
      <w:r>
        <w:rPr>
          <w:rFonts w:eastAsia="Arial Unicode MS"/>
        </w:rPr>
        <w:t>Also, VL policies may be participating or nonparticipating. In contrast to traditional par policies, dividends paid on par VL policies depend only on possible mortality and expense savings and include no element of excess investment earnings. Excess investment earnings, less an asset management fee, are reflected directly in the value of the separate account.</w:t>
      </w:r>
    </w:p>
    <w:p w:rsidR="00CD44A4" w:rsidRDefault="00CD44A4" w:rsidP="00E8192D">
      <w:pPr>
        <w:pStyle w:val="Body"/>
        <w:rPr>
          <w:rFonts w:eastAsia="Arial Unicode MS"/>
        </w:rPr>
      </w:pPr>
      <w:r>
        <w:rPr>
          <w:rFonts w:eastAsia="Arial Unicode MS"/>
        </w:rPr>
        <w:t>Similar to other traditional forms of insurance, policyowners may add various options or riders including, particularly, waiver of premium, guaranteed purchase or insurability, and accidental death benefits, as well as others.(See Chapter 6; “</w:t>
      </w:r>
      <w:r w:rsidRPr="00C80927">
        <w:rPr>
          <w:rFonts w:eastAsia="Arial Unicode MS"/>
        </w:rPr>
        <w:t>Special Policy Provisions and Riders</w:t>
      </w:r>
      <w:r>
        <w:rPr>
          <w:rFonts w:eastAsia="Arial Unicode MS"/>
        </w:rPr>
        <w:t>,” for further discussion of options and riders.)</w:t>
      </w:r>
    </w:p>
    <w:p w:rsidR="005A6A74" w:rsidRDefault="005A6A74" w:rsidP="00E8192D">
      <w:pPr>
        <w:pStyle w:val="Body"/>
        <w:rPr>
          <w:rFonts w:eastAsia="Arial Unicode MS"/>
        </w:rPr>
      </w:pPr>
      <w:r>
        <w:rPr>
          <w:rFonts w:eastAsia="Arial Unicode MS"/>
        </w:rPr>
        <w:br w:type="page"/>
      </w:r>
    </w:p>
    <w:p w:rsidR="00B4004F" w:rsidRPr="00B4004F" w:rsidRDefault="005A6A74" w:rsidP="00B4004F">
      <w:pPr>
        <w:pStyle w:val="Title2"/>
      </w:pPr>
      <w:r>
        <w:lastRenderedPageBreak/>
        <w:t>Variable and Variable Universal Life</w:t>
      </w:r>
    </w:p>
    <w:p w:rsidR="00B4004F" w:rsidRPr="00B4004F" w:rsidRDefault="00B4004F" w:rsidP="00B4004F">
      <w:pPr>
        <w:pStyle w:val="Body"/>
      </w:pPr>
      <w:r>
        <w:t>Insurers that market VL often offer a number of initial premium payment plans including single premium, limited pay (for a specified number of years or until a specified age), and lifetime pay plans.</w:t>
      </w:r>
    </w:p>
    <w:p w:rsidR="00CD44A4" w:rsidRDefault="00CD44A4" w:rsidP="00E8192D">
      <w:pPr>
        <w:pStyle w:val="NUHeading2"/>
        <w:rPr>
          <w:rFonts w:eastAsia="Arial Unicode MS"/>
        </w:rPr>
      </w:pPr>
      <w:r>
        <w:rPr>
          <w:rFonts w:eastAsia="Arial Unicode MS"/>
        </w:rPr>
        <w:t>Variable Universal Life</w:t>
      </w:r>
    </w:p>
    <w:p w:rsidR="00CD44A4" w:rsidRDefault="00CD44A4" w:rsidP="00E8192D">
      <w:pPr>
        <w:pStyle w:val="Body"/>
        <w:rPr>
          <w:rFonts w:eastAsia="Arial Unicode MS"/>
        </w:rPr>
      </w:pPr>
      <w:r>
        <w:rPr>
          <w:rFonts w:eastAsia="Arial Unicode MS"/>
        </w:rPr>
        <w:t>Variable Universal Life (VUL), which also is called flexible premium variable life or universal life II, is a combination of universal life and variable life. VUL offers policyowners the flexibility of universal life (UL) with respect to premium payments and death benefits. Specifically, VUL owners can:</w:t>
      </w:r>
    </w:p>
    <w:p w:rsidR="00CD44A4" w:rsidRDefault="00CD44A4" w:rsidP="00E8192D">
      <w:pPr>
        <w:pStyle w:val="List"/>
        <w:rPr>
          <w:rFonts w:eastAsia="Arial Unicode MS"/>
        </w:rPr>
      </w:pPr>
      <w:r>
        <w:rPr>
          <w:rFonts w:eastAsia="Arial Unicode MS"/>
        </w:rPr>
        <w:t>1.</w:t>
      </w:r>
      <w:r>
        <w:rPr>
          <w:rFonts w:eastAsia="Arial Unicode MS"/>
        </w:rPr>
        <w:tab/>
        <w:t>determine the timing and amount of premium payments (within limits);</w:t>
      </w:r>
    </w:p>
    <w:p w:rsidR="00CD44A4" w:rsidRDefault="00CD44A4" w:rsidP="00E8192D">
      <w:pPr>
        <w:pStyle w:val="List"/>
        <w:rPr>
          <w:rFonts w:eastAsia="Arial Unicode MS"/>
        </w:rPr>
      </w:pPr>
      <w:r>
        <w:rPr>
          <w:rFonts w:eastAsia="Arial Unicode MS"/>
        </w:rPr>
        <w:t>2.</w:t>
      </w:r>
      <w:r>
        <w:rPr>
          <w:rFonts w:eastAsia="Arial Unicode MS"/>
        </w:rPr>
        <w:tab/>
        <w:t>skip a premium payment if the cash value is sufficient to cover the mortality and expense charges;</w:t>
      </w:r>
    </w:p>
    <w:p w:rsidR="00CD44A4" w:rsidRDefault="00CD44A4" w:rsidP="00E8192D">
      <w:pPr>
        <w:pStyle w:val="List"/>
        <w:rPr>
          <w:rFonts w:eastAsia="Arial Unicode MS"/>
        </w:rPr>
      </w:pPr>
      <w:r>
        <w:rPr>
          <w:rFonts w:eastAsia="Arial Unicode MS"/>
        </w:rPr>
        <w:t>3.</w:t>
      </w:r>
      <w:r>
        <w:rPr>
          <w:rFonts w:eastAsia="Arial Unicode MS"/>
        </w:rPr>
        <w:tab/>
        <w:t>adjust the amount of the death benefit in response to inflation or changing needs (subject, generally, to policy minimums and, with respect to increases, evidence of insurability requirements);</w:t>
      </w:r>
    </w:p>
    <w:p w:rsidR="00CD44A4" w:rsidRDefault="00CD44A4" w:rsidP="00E8192D">
      <w:pPr>
        <w:pStyle w:val="List"/>
        <w:rPr>
          <w:rFonts w:eastAsia="Arial Unicode MS"/>
        </w:rPr>
      </w:pPr>
      <w:r>
        <w:rPr>
          <w:rFonts w:eastAsia="Arial Unicode MS"/>
        </w:rPr>
        <w:t>4.</w:t>
      </w:r>
      <w:r>
        <w:rPr>
          <w:rFonts w:eastAsia="Arial Unicode MS"/>
        </w:rPr>
        <w:tab/>
        <w:t>withdraw money without creating a policy loan and without an interest charge if there is sufficient cash value to cover mortality and expense charges; and</w:t>
      </w:r>
    </w:p>
    <w:p w:rsidR="00CD44A4" w:rsidRDefault="00CD44A4" w:rsidP="00E8192D">
      <w:pPr>
        <w:pStyle w:val="List"/>
        <w:rPr>
          <w:rFonts w:eastAsia="Arial Unicode MS"/>
        </w:rPr>
      </w:pPr>
      <w:r>
        <w:rPr>
          <w:rFonts w:eastAsia="Arial Unicode MS"/>
        </w:rPr>
        <w:t>5.</w:t>
      </w:r>
      <w:r>
        <w:rPr>
          <w:rFonts w:eastAsia="Arial Unicode MS"/>
        </w:rPr>
        <w:tab/>
      </w:r>
      <w:proofErr w:type="gramStart"/>
      <w:r>
        <w:rPr>
          <w:rFonts w:eastAsia="Arial Unicode MS"/>
        </w:rPr>
        <w:t>choose</w:t>
      </w:r>
      <w:proofErr w:type="gramEnd"/>
      <w:r>
        <w:rPr>
          <w:rFonts w:eastAsia="Arial Unicode MS"/>
        </w:rPr>
        <w:t xml:space="preserve"> between two death benefit options similar to options A (or I) and B (or II) for UL policies. Under option A, the death benefit remains level, similar to a traditional policy. Under option B, the death benefit is equal to a level pure insurance amount plus the cash value.</w:t>
      </w:r>
    </w:p>
    <w:p w:rsidR="00CD44A4" w:rsidRDefault="00CD44A4" w:rsidP="00E8192D">
      <w:pPr>
        <w:pStyle w:val="Body"/>
        <w:rPr>
          <w:rFonts w:eastAsia="Arial Unicode MS"/>
        </w:rPr>
      </w:pPr>
      <w:r>
        <w:rPr>
          <w:rFonts w:eastAsia="Arial Unicode MS"/>
        </w:rPr>
        <w:t>The death benefit of a VUL policy is not variable in the same sense as the death benefit of a VL policy. Under option B, the death benefit will vary directly, not indirectly by formula, with changes in the cash value. Under option A, the death benefit is level. However, the death benefit of VUL policies is flexible or adjustable, within limits and subject to insurability requirements, at the discretion of the policyowner.</w:t>
      </w:r>
    </w:p>
    <w:p w:rsidR="00CD44A4" w:rsidRDefault="00CD44A4" w:rsidP="00E8192D">
      <w:pPr>
        <w:pStyle w:val="Body"/>
        <w:rPr>
          <w:rFonts w:eastAsia="Arial Unicode MS"/>
        </w:rPr>
      </w:pPr>
      <w:r>
        <w:rPr>
          <w:rFonts w:eastAsia="Arial Unicode MS"/>
        </w:rPr>
        <w:t>VUL policyowners receive periodic reports that explicitly show mortality and expense charges and changes in the investment value of their accounts.</w:t>
      </w:r>
    </w:p>
    <w:p w:rsidR="005A6A74" w:rsidRDefault="00CD44A4" w:rsidP="00E8192D">
      <w:pPr>
        <w:pStyle w:val="Body"/>
        <w:rPr>
          <w:rFonts w:eastAsia="Arial Unicode MS"/>
        </w:rPr>
      </w:pPr>
      <w:r>
        <w:rPr>
          <w:rFonts w:eastAsia="Arial Unicode MS"/>
        </w:rPr>
        <w:t>Because variable life products are considered securities, the insurer (or insurer’s agent) must give the prospective purchasers a prospectus. The prospectus contains the identity and nature of the insurer’s business, the use to which the insurer will put the premiums, financial information on the insurer, and the investment characteristics of the product, as well as the policy’s expenses, fees, loads, and policyowner rights. In addition, the agent must be properly licensed to sell security products.</w:t>
      </w:r>
      <w:r w:rsidR="005A6A74">
        <w:rPr>
          <w:rFonts w:eastAsia="Arial Unicode MS"/>
        </w:rPr>
        <w:br w:type="page"/>
      </w:r>
    </w:p>
    <w:p w:rsidR="005A6A74" w:rsidRDefault="005A6A74" w:rsidP="005A6A74">
      <w:pPr>
        <w:pStyle w:val="Title2"/>
      </w:pPr>
      <w:r>
        <w:lastRenderedPageBreak/>
        <w:t>Variable and Variable Universal Life</w:t>
      </w:r>
    </w:p>
    <w:p w:rsidR="00CD44A4" w:rsidRDefault="005A6A74" w:rsidP="00E8192D">
      <w:pPr>
        <w:pStyle w:val="Heading1"/>
        <w:rPr>
          <w:rFonts w:eastAsia="Arial Unicode MS"/>
        </w:rPr>
      </w:pPr>
      <w:r>
        <w:rPr>
          <w:rFonts w:eastAsia="Arial Unicode MS"/>
        </w:rPr>
        <w:t>When Is the Use of This Devise Indicated?</w:t>
      </w:r>
    </w:p>
    <w:p w:rsidR="00CD44A4" w:rsidRDefault="00CD44A4" w:rsidP="00E8192D">
      <w:pPr>
        <w:pStyle w:val="Body"/>
        <w:rPr>
          <w:rFonts w:eastAsia="Arial Unicode MS"/>
        </w:rPr>
      </w:pPr>
      <w:r>
        <w:rPr>
          <w:rFonts w:eastAsia="Arial Unicode MS"/>
        </w:rPr>
        <w:t>Variable life products are most suitable for those individuals who want control over their cash values and need or desire increasing life insurance protection. They should have a basic understanding of investments and believe they are capable of making good investment decisions. They must be willing to bear the entire risk of their investments because the insurance company does not guarantee the cash values of VL products. If the policyowner expects the need for death protection to grow, VL death benefit levels will increase with favorable investment experience on the underlying assets. However, policyowners have no assurance that this growth will be consistent. Policyowners face a risk that the market value of the underlying assets and, therefore, the death benefit level, will be depressed when the insured dies.</w:t>
      </w:r>
    </w:p>
    <w:p w:rsidR="00CD44A4" w:rsidRDefault="00CD44A4" w:rsidP="00E8192D">
      <w:pPr>
        <w:pStyle w:val="Body"/>
        <w:rPr>
          <w:rFonts w:eastAsia="Arial Unicode MS"/>
        </w:rPr>
      </w:pPr>
      <w:r>
        <w:rPr>
          <w:rFonts w:eastAsia="Arial Unicode MS"/>
        </w:rPr>
        <w:t>VUL offers greater certainty of death benefit levels than VL as long as policyowners continue to pay premiums at the level necessary to maintain the death benefit. Under option B, death benefit levels are more certain to increase. VUL also permits the policyowner to increase the face amount of coverage with evidence of insurability.</w:t>
      </w:r>
    </w:p>
    <w:p w:rsidR="00CD44A4" w:rsidRDefault="00CD44A4" w:rsidP="00E8192D">
      <w:pPr>
        <w:pStyle w:val="Body"/>
        <w:rPr>
          <w:rFonts w:eastAsia="Arial Unicode MS"/>
        </w:rPr>
      </w:pPr>
      <w:r>
        <w:rPr>
          <w:rFonts w:eastAsia="Arial Unicode MS"/>
        </w:rPr>
        <w:t>Given the risks and uncertainties associated with both cash values and death benefit levels, some people may find variable life products an attractive supplement to an existing life insurance plan that assures a minimum required base level of coverage. Generally, VL and VUL are less suitable as the means of providing the minimum basic level of coverage.</w:t>
      </w:r>
    </w:p>
    <w:p w:rsidR="005A6A74" w:rsidRDefault="00CD44A4" w:rsidP="00E8192D">
      <w:pPr>
        <w:pStyle w:val="Body"/>
        <w:rPr>
          <w:rFonts w:eastAsia="Arial Unicode MS"/>
        </w:rPr>
      </w:pPr>
      <w:r>
        <w:rPr>
          <w:rFonts w:eastAsia="Arial Unicode MS"/>
        </w:rPr>
        <w:t>VL and, more particularly, VUL are especially suitable for many business insurance needs where flexibility and growth of cash values and death benefits are necessary or attractive features. Businesses can use these policies to provide potentially higher tax-deferred cash value accumulations in nonqualified deferred compensation plans than traditional policies or UL. With successful investment of cash values, the death benefit levels of variable products are more likely than those of traditional products to keep pace with increases in the values of closely-held business interests when a variable product funds a buy-sell agreement. Businesses may also find VL and VUL equally attractive for key person insurance and other business applications or in insured pension plans.</w:t>
      </w:r>
    </w:p>
    <w:p w:rsidR="005C3786" w:rsidRDefault="005C3786" w:rsidP="00E8192D">
      <w:pPr>
        <w:pStyle w:val="Body"/>
        <w:rPr>
          <w:rFonts w:eastAsia="Arial Unicode MS"/>
        </w:rPr>
      </w:pPr>
      <w:r>
        <w:rPr>
          <w:rFonts w:eastAsia="Arial Unicode MS"/>
        </w:rPr>
        <w:br w:type="page"/>
      </w:r>
    </w:p>
    <w:p w:rsidR="005C3786" w:rsidRDefault="005C3786" w:rsidP="005C3786">
      <w:pPr>
        <w:pStyle w:val="Title2"/>
      </w:pPr>
      <w:r>
        <w:lastRenderedPageBreak/>
        <w:t>Variable and Variable Universal Life</w:t>
      </w:r>
    </w:p>
    <w:p w:rsidR="00B4004F" w:rsidRDefault="00B4004F" w:rsidP="00B4004F">
      <w:pPr>
        <w:pStyle w:val="Heading1"/>
        <w:rPr>
          <w:rFonts w:eastAsia="Arial Unicode MS"/>
        </w:rPr>
      </w:pPr>
      <w:r>
        <w:rPr>
          <w:rFonts w:eastAsia="Arial Unicode MS"/>
        </w:rPr>
        <w:t>Tax Implications</w:t>
      </w:r>
    </w:p>
    <w:p w:rsidR="00B4004F" w:rsidRDefault="00B4004F" w:rsidP="00B4004F">
      <w:pPr>
        <w:pStyle w:val="NUHeading2"/>
        <w:rPr>
          <w:rFonts w:eastAsia="Arial Unicode MS"/>
        </w:rPr>
      </w:pPr>
      <w:r>
        <w:rPr>
          <w:rFonts w:eastAsia="Arial Unicode MS"/>
        </w:rPr>
        <w:t>General Tax Rules</w:t>
      </w:r>
    </w:p>
    <w:p w:rsidR="00CD44A4" w:rsidRDefault="00B4004F" w:rsidP="00B4004F">
      <w:pPr>
        <w:pStyle w:val="Body"/>
        <w:rPr>
          <w:rFonts w:eastAsia="Arial Unicode MS"/>
        </w:rPr>
      </w:pPr>
      <w:r>
        <w:rPr>
          <w:rFonts w:eastAsia="Arial Unicode MS"/>
        </w:rPr>
        <w:t xml:space="preserve">VL products that do not violate the modified endowment contract rules are taxed in the same manner as other types of life insurance policies. Death benefits usually are paid free of any </w:t>
      </w:r>
      <w:r w:rsidR="00CD44A4">
        <w:rPr>
          <w:rFonts w:eastAsia="Arial Unicode MS"/>
        </w:rPr>
        <w:t>federal income tax. Variable life insurance policies are subject to the same income, estate, gift, and generation-skipping transfer taxation rules as all other types of life insurance policies.</w:t>
      </w:r>
    </w:p>
    <w:p w:rsidR="00CD44A4" w:rsidRDefault="00CD44A4" w:rsidP="00E8192D">
      <w:pPr>
        <w:pStyle w:val="Body"/>
        <w:rPr>
          <w:rFonts w:eastAsia="Arial Unicode MS"/>
        </w:rPr>
      </w:pPr>
      <w:r>
        <w:rPr>
          <w:rFonts w:eastAsia="Arial Unicode MS"/>
        </w:rPr>
        <w:t>The tax rules for living benefits from VL products also are the same as for living benefits from other types of life insurance policies. The cost-recovery rules of Internal Revenue Code Section 72 govern the taxation of annuity-type distributions. These rules state that policyowners recover their investments in their contracts (generally, total premiums paid less prior nontaxable distributions) ratably over their expected payout periods.</w:t>
      </w:r>
    </w:p>
    <w:p w:rsidR="00CD44A4" w:rsidRDefault="00CD44A4" w:rsidP="00E8192D">
      <w:pPr>
        <w:pStyle w:val="Body"/>
        <w:rPr>
          <w:rFonts w:eastAsia="Arial Unicode MS"/>
        </w:rPr>
      </w:pPr>
      <w:r>
        <w:rPr>
          <w:rFonts w:eastAsia="Arial Unicode MS"/>
        </w:rPr>
        <w:t>Interest paid on or credited to living benefits held by the insurer under an agreement to pay interest is taxable immediately in full. The cost-recovery rule generally applies for the taxation of all other types of living benefits. The cost-recovery rule, which is sometimes called the First-In First-Out (FIFO) rule, treats amounts received first as a nontaxable recovery of the policyowner’s investment in the contract. Only after policyowners fully recovers their investment are additional amounts they receive treated as taxable interest or gain in their policies. Included in this category of living benefits are policy dividends, lump-sum cash settlements of cash surrender values, cash withdrawals, and amounts received on partial surrender. Policyowners include such amounts in gross income only to the extent such amounts exceed the investment in the contract (as reduced by any prior excludable distributions owners receive from their contracts). In other words, nonannuity distributions during life generally are first treated as a return of the policyowner’s investment in the contract and then as taxable interest or gain.</w:t>
      </w:r>
    </w:p>
    <w:p w:rsidR="00CD44A4" w:rsidRDefault="00CD44A4" w:rsidP="00E8192D">
      <w:pPr>
        <w:pStyle w:val="NUHeading2"/>
        <w:rPr>
          <w:rFonts w:eastAsia="Arial Unicode MS"/>
        </w:rPr>
      </w:pPr>
      <w:r>
        <w:rPr>
          <w:rFonts w:eastAsia="Arial Unicode MS"/>
        </w:rPr>
        <w:t>Exception to the Cost-recovery Rule</w:t>
      </w:r>
    </w:p>
    <w:p w:rsidR="005A6A74" w:rsidRDefault="00CD44A4" w:rsidP="00E8192D">
      <w:pPr>
        <w:pStyle w:val="Body"/>
        <w:rPr>
          <w:rFonts w:eastAsia="Arial Unicode MS"/>
        </w:rPr>
      </w:pPr>
      <w:r>
        <w:rPr>
          <w:rFonts w:eastAsia="Arial Unicode MS"/>
        </w:rPr>
        <w:t xml:space="preserve">The general cost-recovery rule may not apply for withdrawals within the first 15 years after the policy </w:t>
      </w:r>
      <w:proofErr w:type="gramStart"/>
      <w:r>
        <w:rPr>
          <w:rFonts w:eastAsia="Arial Unicode MS"/>
        </w:rPr>
        <w:t>issue date</w:t>
      </w:r>
      <w:proofErr w:type="gramEnd"/>
      <w:r>
        <w:rPr>
          <w:rFonts w:eastAsia="Arial Unicode MS"/>
        </w:rPr>
        <w:t xml:space="preserve"> that are coupled with reductions in death benefits. Because insurers generally reduce death benefits in an amount equal to any withdrawal of cash values, policyowner withdrawals frequently may trigger a tax on all or part of these withdrawals to the extent of gain in the policy.</w:t>
      </w:r>
    </w:p>
    <w:p w:rsidR="005C3786" w:rsidRDefault="005C3786" w:rsidP="00E8192D">
      <w:pPr>
        <w:pStyle w:val="ListBullet"/>
        <w:ind w:left="360" w:hanging="360"/>
        <w:rPr>
          <w:rFonts w:eastAsia="Arial Unicode MS"/>
        </w:rPr>
      </w:pPr>
      <w:r>
        <w:rPr>
          <w:rFonts w:eastAsia="Arial Unicode MS"/>
        </w:rPr>
        <w:br w:type="page"/>
      </w:r>
    </w:p>
    <w:p w:rsidR="00CD44A4" w:rsidRPr="005C3786" w:rsidRDefault="005C3786" w:rsidP="005C3786">
      <w:pPr>
        <w:pStyle w:val="Title2"/>
      </w:pPr>
      <w:r>
        <w:lastRenderedPageBreak/>
        <w:t>Variable and Variable Universal Life</w:t>
      </w:r>
    </w:p>
    <w:p w:rsidR="00B4004F" w:rsidRDefault="00B4004F" w:rsidP="00B4004F">
      <w:pPr>
        <w:pStyle w:val="Body"/>
        <w:rPr>
          <w:rFonts w:eastAsia="Arial Unicode MS"/>
        </w:rPr>
      </w:pPr>
      <w:r>
        <w:rPr>
          <w:rFonts w:eastAsia="Arial Unicode MS"/>
        </w:rPr>
        <w:t>The rules tax such withdrawals in whole or in part as ordinary income to the extent that they are forced out of the policy as a result of the reduction in the death benefits. The taxable amount depends on when the owner makes the withdrawal:</w:t>
      </w:r>
    </w:p>
    <w:p w:rsidR="00B4004F" w:rsidRDefault="00B4004F" w:rsidP="00B4004F">
      <w:pPr>
        <w:pStyle w:val="ListBullet"/>
        <w:ind w:left="360" w:hanging="360"/>
        <w:rPr>
          <w:rFonts w:eastAsia="Arial Unicode MS"/>
        </w:rPr>
      </w:pPr>
      <w:r w:rsidRPr="00E8192D">
        <w:rPr>
          <w:rFonts w:eastAsia="Arial Unicode MS"/>
        </w:rPr>
        <w:t xml:space="preserve">Within first five years </w:t>
      </w:r>
      <w:r w:rsidRPr="00E8192D">
        <w:rPr>
          <w:rFonts w:eastAsia="Arial Unicode MS"/>
        </w:rPr>
        <w:softHyphen/>
        <w:t>– If the withdrawal takes place within the first five years after policy issue, a very stringent and complex set of tests applies.</w:t>
      </w:r>
      <w:r w:rsidRPr="00E8192D">
        <w:rPr>
          <w:rStyle w:val="EndnoteReference"/>
          <w:rFonts w:eastAsia="Arial Unicode MS"/>
          <w:vertAlign w:val="baseline"/>
        </w:rPr>
        <w:endnoteReference w:id="2"/>
      </w:r>
      <w:r w:rsidRPr="00E8192D">
        <w:rPr>
          <w:rFonts w:eastAsia="Arial Unicode MS"/>
        </w:rPr>
        <w:t xml:space="preserve"> Potentially, a larger portion, or perhaps all, of any withdrawal within the first five years will be taxable if there is gain in the policy.</w:t>
      </w:r>
    </w:p>
    <w:p w:rsidR="00CD44A4" w:rsidRPr="00E8192D" w:rsidRDefault="00CD44A4" w:rsidP="00B4004F">
      <w:pPr>
        <w:pStyle w:val="ListBullet"/>
        <w:ind w:left="360" w:hanging="360"/>
        <w:rPr>
          <w:rFonts w:eastAsia="Arial Unicode MS"/>
        </w:rPr>
      </w:pPr>
      <w:r w:rsidRPr="00E8192D">
        <w:rPr>
          <w:rFonts w:eastAsia="Arial Unicode MS"/>
        </w:rPr>
        <w:t>Fifth to fifteenth years – For withdrawals between the end of the fifth year and the end of the fifteenth year from the issue date, a mathematical test applies. Essentially, the rules tax the policyowner on an income-first basis to the extent the cash value before the withdrawal exceeds the maximum allowable cash value under the cash value corridor test for the reduced death benefit after the withdrawal.</w:t>
      </w:r>
      <w:r w:rsidRPr="00E8192D">
        <w:rPr>
          <w:rStyle w:val="EndnoteReference"/>
          <w:rFonts w:eastAsia="Arial Unicode MS"/>
          <w:vertAlign w:val="baseline"/>
        </w:rPr>
        <w:endnoteReference w:id="3"/>
      </w:r>
      <w:r w:rsidRPr="00E8192D">
        <w:rPr>
          <w:rFonts w:eastAsia="Arial Unicode MS"/>
        </w:rPr>
        <w:t xml:space="preserve"> Frequently, in these cases only a portion or even no part of the withdrawal will be taxable.</w:t>
      </w:r>
    </w:p>
    <w:p w:rsidR="00CD44A4" w:rsidRPr="00283741" w:rsidRDefault="00CD44A4" w:rsidP="00E8192D">
      <w:pPr>
        <w:pStyle w:val="Body"/>
        <w:rPr>
          <w:rFonts w:eastAsia="Arial Unicode MS"/>
        </w:rPr>
      </w:pPr>
      <w:r w:rsidRPr="007524E3">
        <w:rPr>
          <w:rFonts w:eastAsia="Arial Unicode MS"/>
        </w:rPr>
        <w:t xml:space="preserve">Changing from option B (increasing death benefit) </w:t>
      </w:r>
      <w:r w:rsidRPr="00446190">
        <w:rPr>
          <w:rFonts w:eastAsia="Arial Unicode MS"/>
        </w:rPr>
        <w:t xml:space="preserve">or from option C (return of premium) </w:t>
      </w:r>
      <w:r w:rsidRPr="007524E3">
        <w:rPr>
          <w:rFonts w:eastAsia="Arial Unicode MS"/>
        </w:rPr>
        <w:t xml:space="preserve">to option </w:t>
      </w:r>
      <w:proofErr w:type="gramStart"/>
      <w:r w:rsidRPr="007524E3">
        <w:rPr>
          <w:rFonts w:eastAsia="Arial Unicode MS"/>
        </w:rPr>
        <w:t>A</w:t>
      </w:r>
      <w:proofErr w:type="gramEnd"/>
      <w:r w:rsidRPr="007524E3">
        <w:rPr>
          <w:rFonts w:eastAsia="Arial Unicode MS"/>
        </w:rPr>
        <w:t xml:space="preserve"> (level death benefit) will trigger a test to see whether any amount must be forced out of the policy. In general, option B </w:t>
      </w:r>
      <w:r w:rsidRPr="00446190">
        <w:rPr>
          <w:rFonts w:eastAsia="Arial Unicode MS"/>
        </w:rPr>
        <w:t xml:space="preserve">and option C </w:t>
      </w:r>
      <w:r w:rsidRPr="007524E3">
        <w:rPr>
          <w:rFonts w:eastAsia="Arial Unicode MS"/>
        </w:rPr>
        <w:t xml:space="preserve">contracts allow for greater cash accumulations within the policy </w:t>
      </w:r>
      <w:r w:rsidRPr="00900440">
        <w:rPr>
          <w:rFonts w:eastAsia="Arial Unicode MS"/>
        </w:rPr>
        <w:t xml:space="preserve">than option </w:t>
      </w:r>
      <w:proofErr w:type="gramStart"/>
      <w:r w:rsidRPr="00900440">
        <w:rPr>
          <w:rFonts w:eastAsia="Arial Unicode MS"/>
        </w:rPr>
        <w:t>A</w:t>
      </w:r>
      <w:proofErr w:type="gramEnd"/>
      <w:r w:rsidRPr="00900440">
        <w:rPr>
          <w:rFonts w:eastAsia="Arial Unicode MS"/>
        </w:rPr>
        <w:t xml:space="preserve"> contracts. Consequently, if a policy with option B </w:t>
      </w:r>
      <w:r w:rsidRPr="00446190">
        <w:rPr>
          <w:rFonts w:eastAsia="Arial Unicode MS"/>
        </w:rPr>
        <w:t xml:space="preserve">or option C </w:t>
      </w:r>
      <w:r w:rsidRPr="007524E3">
        <w:rPr>
          <w:rFonts w:eastAsia="Arial Unicode MS"/>
        </w:rPr>
        <w:t>has close to the maximum permitted cash value</w:t>
      </w:r>
      <w:r>
        <w:rPr>
          <w:rFonts w:eastAsia="Arial Unicode MS"/>
        </w:rPr>
        <w:t xml:space="preserve"> under that option</w:t>
      </w:r>
      <w:r w:rsidRPr="007524E3">
        <w:rPr>
          <w:rFonts w:eastAsia="Arial Unicode MS"/>
        </w:rPr>
        <w:t xml:space="preserve">, a switch to option A </w:t>
      </w:r>
      <w:r w:rsidRPr="00446190">
        <w:rPr>
          <w:rFonts w:eastAsia="Arial Unicode MS"/>
        </w:rPr>
        <w:t xml:space="preserve">generally </w:t>
      </w:r>
      <w:r w:rsidRPr="007524E3">
        <w:rPr>
          <w:rFonts w:eastAsia="Arial Unicode MS"/>
        </w:rPr>
        <w:t xml:space="preserve">will </w:t>
      </w:r>
      <w:r w:rsidRPr="00C30053">
        <w:rPr>
          <w:rFonts w:eastAsia="Arial Unicode MS"/>
        </w:rPr>
        <w:t xml:space="preserve">trigger a taxable distribution. (See </w:t>
      </w:r>
      <w:r w:rsidRPr="00E22485">
        <w:rPr>
          <w:rFonts w:eastAsia="Arial Unicode MS"/>
        </w:rPr>
        <w:t xml:space="preserve">Chapter </w:t>
      </w:r>
      <w:r w:rsidRPr="00A57265">
        <w:rPr>
          <w:rFonts w:eastAsia="Arial Unicode MS"/>
        </w:rPr>
        <w:t xml:space="preserve">22 through </w:t>
      </w:r>
      <w:r>
        <w:rPr>
          <w:rFonts w:eastAsia="Arial Unicode MS"/>
        </w:rPr>
        <w:t>29</w:t>
      </w:r>
      <w:r w:rsidRPr="00C30053">
        <w:rPr>
          <w:rFonts w:eastAsia="Arial Unicode MS"/>
        </w:rPr>
        <w:t xml:space="preserve"> for a complete discussion of the taxation of life insurance.)</w:t>
      </w:r>
    </w:p>
    <w:p w:rsidR="00CD44A4" w:rsidRDefault="00CD44A4" w:rsidP="00E8192D">
      <w:pPr>
        <w:pStyle w:val="NUHeading2"/>
        <w:rPr>
          <w:rFonts w:eastAsia="Arial Unicode MS"/>
        </w:rPr>
      </w:pPr>
      <w:r>
        <w:rPr>
          <w:rFonts w:eastAsia="Arial Unicode MS"/>
        </w:rPr>
        <w:t>Caveat: Potential Taxation under the MEC Rules</w:t>
      </w:r>
    </w:p>
    <w:p w:rsidR="005A6A74" w:rsidRDefault="00CD44A4" w:rsidP="00E8192D">
      <w:pPr>
        <w:pStyle w:val="Body"/>
        <w:rPr>
          <w:rFonts w:eastAsia="Arial Unicode MS"/>
        </w:rPr>
      </w:pPr>
      <w:r>
        <w:rPr>
          <w:rFonts w:eastAsia="Arial Unicode MS"/>
        </w:rPr>
        <w:t>The flexibility inherent in VUL policies with respect to changes in premiums and death benefits raises the possibility that the policy could become a modified endowment contract (MEC</w:t>
      </w:r>
      <w:r w:rsidRPr="00283741">
        <w:rPr>
          <w:rFonts w:eastAsia="Arial Unicode MS"/>
        </w:rPr>
        <w:t>).</w:t>
      </w:r>
      <w:r w:rsidRPr="00A912B7">
        <w:rPr>
          <w:rStyle w:val="EndnoteReference"/>
          <w:rFonts w:eastAsia="Arial Unicode MS"/>
        </w:rPr>
        <w:endnoteReference w:id="4"/>
      </w:r>
      <w:r w:rsidRPr="00283741">
        <w:rPr>
          <w:rFonts w:eastAsia="Arial Unicode MS"/>
        </w:rPr>
        <w:t xml:space="preserve"> The penalty for classification as a MEC relates to distributions. If a policy is classified as a MEC, distributions under the contract are taxed under the </w:t>
      </w:r>
      <w:r>
        <w:rPr>
          <w:rFonts w:eastAsia="Arial Unicode MS"/>
        </w:rPr>
        <w:t>interest-first rule</w:t>
      </w:r>
      <w:r w:rsidRPr="00283741">
        <w:rPr>
          <w:rFonts w:eastAsia="Arial Unicode MS"/>
        </w:rPr>
        <w:t xml:space="preserve"> rather than the </w:t>
      </w:r>
      <w:r>
        <w:rPr>
          <w:rFonts w:eastAsia="Arial Unicode MS"/>
        </w:rPr>
        <w:t>cost-recovery rule</w:t>
      </w:r>
      <w:r w:rsidRPr="00283741">
        <w:rPr>
          <w:rFonts w:eastAsia="Arial Unicode MS"/>
        </w:rPr>
        <w:t>. In addition, to the extent taxable, these distributions are subject to a 10</w:t>
      </w:r>
      <w:r>
        <w:rPr>
          <w:rFonts w:eastAsia="Arial Unicode MS"/>
        </w:rPr>
        <w:t xml:space="preserve"> percent</w:t>
      </w:r>
      <w:r w:rsidRPr="00283741">
        <w:rPr>
          <w:rFonts w:eastAsia="Arial Unicode MS"/>
        </w:rPr>
        <w:t xml:space="preserve"> penalty if they occur before the policyowner reaches age 59½, dies, or becomes disabled. So MEC categorization of a VUL contract means both faster taxation of investment gains and a possible penalty tax for early receipt of that growth.</w:t>
      </w:r>
    </w:p>
    <w:p w:rsidR="00B4004F" w:rsidRDefault="00CD44A4" w:rsidP="00B4004F">
      <w:pPr>
        <w:pStyle w:val="Body"/>
        <w:rPr>
          <w:rFonts w:eastAsia="Arial Unicode MS"/>
        </w:rPr>
      </w:pPr>
      <w:r w:rsidRPr="00283741">
        <w:rPr>
          <w:rFonts w:eastAsia="Arial Unicode MS"/>
        </w:rPr>
        <w:t xml:space="preserve">Distributions under the contract include nonannuity living benefits (as described above), policy loans, loans secured by the policy, loans used to pay premiums, and dividends taken in cash. Distributions under the contract do </w:t>
      </w:r>
      <w:r w:rsidRPr="00283741">
        <w:rPr>
          <w:rFonts w:eastAsia="Arial Unicode MS"/>
          <w:i/>
        </w:rPr>
        <w:t>not</w:t>
      </w:r>
      <w:r w:rsidRPr="00283741">
        <w:rPr>
          <w:rFonts w:eastAsia="Arial Unicode MS"/>
        </w:rPr>
        <w:t xml:space="preserve"> include dividends used to pay </w:t>
      </w:r>
    </w:p>
    <w:p w:rsidR="005C3786" w:rsidRDefault="005C3786" w:rsidP="00E8192D">
      <w:pPr>
        <w:pStyle w:val="List"/>
        <w:rPr>
          <w:rFonts w:eastAsia="Arial Unicode MS"/>
        </w:rPr>
      </w:pPr>
      <w:r>
        <w:rPr>
          <w:rFonts w:eastAsia="Arial Unicode MS"/>
        </w:rPr>
        <w:lastRenderedPageBreak/>
        <w:br w:type="page"/>
      </w:r>
    </w:p>
    <w:p w:rsidR="005C3786" w:rsidRDefault="005C3786" w:rsidP="005C3786">
      <w:pPr>
        <w:pStyle w:val="Title2"/>
      </w:pPr>
      <w:r>
        <w:lastRenderedPageBreak/>
        <w:t>Variable and Variable Universal Life</w:t>
      </w:r>
    </w:p>
    <w:p w:rsidR="00B4004F" w:rsidRPr="00283741" w:rsidRDefault="00B4004F" w:rsidP="00B4004F">
      <w:pPr>
        <w:pStyle w:val="Body"/>
        <w:rPr>
          <w:rFonts w:eastAsia="Arial Unicode MS"/>
        </w:rPr>
      </w:pPr>
      <w:proofErr w:type="gramStart"/>
      <w:r w:rsidRPr="00283741">
        <w:rPr>
          <w:rFonts w:eastAsia="Arial Unicode MS"/>
        </w:rPr>
        <w:t>premiums</w:t>
      </w:r>
      <w:proofErr w:type="gramEnd"/>
      <w:r w:rsidRPr="00283741">
        <w:rPr>
          <w:rFonts w:eastAsia="Arial Unicode MS"/>
        </w:rPr>
        <w:t>, dividends used to purchase paid-up additions, dividends used to purchase one year term insurance, or the surrender of paid-up additions to pay premiums.</w:t>
      </w:r>
    </w:p>
    <w:p w:rsidR="00B4004F" w:rsidRPr="00283741" w:rsidRDefault="00B4004F" w:rsidP="00B4004F">
      <w:pPr>
        <w:pStyle w:val="Body"/>
        <w:rPr>
          <w:rFonts w:eastAsia="Arial Unicode MS"/>
        </w:rPr>
      </w:pPr>
      <w:r w:rsidRPr="00283741">
        <w:rPr>
          <w:rFonts w:eastAsia="Arial Unicode MS"/>
        </w:rPr>
        <w:t>Changes in premiums or death benefits may inadvertently cause a VUL policy to run afoul of the MEC rules in basically three ways:</w:t>
      </w:r>
    </w:p>
    <w:p w:rsidR="00B4004F" w:rsidRDefault="00B4004F" w:rsidP="00B4004F">
      <w:pPr>
        <w:pStyle w:val="List"/>
        <w:rPr>
          <w:rFonts w:eastAsia="Arial Unicode MS"/>
        </w:rPr>
      </w:pPr>
      <w:r w:rsidRPr="00283741">
        <w:rPr>
          <w:rFonts w:eastAsia="Arial Unicode MS"/>
        </w:rPr>
        <w:t>1.</w:t>
      </w:r>
      <w:r w:rsidRPr="00283741">
        <w:rPr>
          <w:rFonts w:eastAsia="Arial Unicode MS"/>
        </w:rPr>
        <w:tab/>
        <w:t>An increase in premium payments during the first seven contract years may push the cumulative premiums above the amount permitted under the seven-pay test.</w:t>
      </w:r>
      <w:r w:rsidRPr="00DA6CA8">
        <w:rPr>
          <w:rStyle w:val="EndnoteReference"/>
          <w:rFonts w:eastAsia="Arial Unicode MS"/>
        </w:rPr>
        <w:endnoteReference w:id="5"/>
      </w:r>
    </w:p>
    <w:p w:rsidR="00CD44A4" w:rsidRPr="00283741" w:rsidRDefault="00CD44A4" w:rsidP="00B4004F">
      <w:pPr>
        <w:pStyle w:val="List"/>
        <w:rPr>
          <w:rFonts w:eastAsia="Arial Unicode MS"/>
        </w:rPr>
      </w:pPr>
      <w:r w:rsidRPr="00283741">
        <w:rPr>
          <w:rFonts w:eastAsia="Arial Unicode MS"/>
        </w:rPr>
        <w:t>2.</w:t>
      </w:r>
      <w:r w:rsidRPr="00283741">
        <w:rPr>
          <w:rFonts w:eastAsia="Arial Unicode MS"/>
        </w:rPr>
        <w:tab/>
        <w:t>A reduction in the death benefit during the first seven contract years triggers a recomputation of the seven-pay test. The seven-pay test is applied retroactively as of the original issue date as if the policy had been issued at the reduced death benefit.</w:t>
      </w:r>
    </w:p>
    <w:p w:rsidR="00CD44A4" w:rsidRPr="00283741" w:rsidRDefault="00CD44A4" w:rsidP="00E8192D">
      <w:pPr>
        <w:pStyle w:val="List"/>
        <w:rPr>
          <w:rFonts w:eastAsia="Arial Unicode MS"/>
        </w:rPr>
      </w:pPr>
      <w:r w:rsidRPr="00283741">
        <w:rPr>
          <w:rFonts w:eastAsia="Arial Unicode MS"/>
        </w:rPr>
        <w:t>3.</w:t>
      </w:r>
      <w:r w:rsidRPr="00283741">
        <w:rPr>
          <w:rFonts w:eastAsia="Arial Unicode MS"/>
        </w:rPr>
        <w:tab/>
        <w:t>A material increase of the death benefit at any time triggers a new seven-pay test which is applied prospectively as of the date of the material change.</w:t>
      </w:r>
    </w:p>
    <w:p w:rsidR="00CD44A4" w:rsidRPr="00283741" w:rsidRDefault="00CD44A4" w:rsidP="00E8192D">
      <w:pPr>
        <w:pStyle w:val="Body"/>
        <w:rPr>
          <w:rFonts w:eastAsia="Arial Unicode MS"/>
        </w:rPr>
      </w:pPr>
      <w:r w:rsidRPr="00283741">
        <w:rPr>
          <w:rFonts w:eastAsia="Arial Unicode MS"/>
        </w:rPr>
        <w:t xml:space="preserve">When issued, most VUL policy illustrations show the maximum amount (the seven-pay guideline annual premium limit) that </w:t>
      </w:r>
      <w:r>
        <w:rPr>
          <w:rFonts w:eastAsia="Arial Unicode MS"/>
        </w:rPr>
        <w:t xml:space="preserve">the policyowner </w:t>
      </w:r>
      <w:r w:rsidRPr="00283741">
        <w:rPr>
          <w:rFonts w:eastAsia="Arial Unicode MS"/>
        </w:rPr>
        <w:t>may pa</w:t>
      </w:r>
      <w:r>
        <w:rPr>
          <w:rFonts w:eastAsia="Arial Unicode MS"/>
        </w:rPr>
        <w:t>y</w:t>
      </w:r>
      <w:r w:rsidRPr="00283741">
        <w:rPr>
          <w:rFonts w:eastAsia="Arial Unicode MS"/>
        </w:rPr>
        <w:t xml:space="preserve"> within the first seven years without having the policy classified as a MEC. If policyowner</w:t>
      </w:r>
      <w:r>
        <w:rPr>
          <w:rFonts w:eastAsia="Arial Unicode MS"/>
        </w:rPr>
        <w:t>s</w:t>
      </w:r>
      <w:r w:rsidRPr="00283741">
        <w:rPr>
          <w:rFonts w:eastAsia="Arial Unicode MS"/>
        </w:rPr>
        <w:t xml:space="preserve"> inadvertently exceed that maximum, </w:t>
      </w:r>
      <w:r>
        <w:rPr>
          <w:rFonts w:eastAsia="Arial Unicode MS"/>
        </w:rPr>
        <w:t xml:space="preserve">they can avoid </w:t>
      </w:r>
      <w:r w:rsidRPr="00283741">
        <w:rPr>
          <w:rFonts w:eastAsia="Arial Unicode MS"/>
        </w:rPr>
        <w:t>MEC status if</w:t>
      </w:r>
      <w:r>
        <w:rPr>
          <w:rFonts w:eastAsia="Arial Unicode MS"/>
        </w:rPr>
        <w:t xml:space="preserve"> insurers return </w:t>
      </w:r>
      <w:r w:rsidRPr="00283741">
        <w:rPr>
          <w:rFonts w:eastAsia="Arial Unicode MS"/>
        </w:rPr>
        <w:t>excess premiums to the policyowner</w:t>
      </w:r>
      <w:r>
        <w:rPr>
          <w:rFonts w:eastAsia="Arial Unicode MS"/>
        </w:rPr>
        <w:t>s</w:t>
      </w:r>
      <w:r w:rsidRPr="00283741">
        <w:rPr>
          <w:rFonts w:eastAsia="Arial Unicode MS"/>
        </w:rPr>
        <w:t xml:space="preserve"> with interest within 60 days after the end of the contract year in which the excess occurs. The interest will be subject to taxation.</w:t>
      </w:r>
      <w:r w:rsidRPr="00DA6CA8">
        <w:rPr>
          <w:rStyle w:val="EndnoteReference"/>
          <w:rFonts w:eastAsia="Arial Unicode MS"/>
        </w:rPr>
        <w:endnoteReference w:id="6"/>
      </w:r>
    </w:p>
    <w:p w:rsidR="00CD44A4" w:rsidRPr="00283741" w:rsidRDefault="00CD44A4" w:rsidP="00E8192D">
      <w:pPr>
        <w:pStyle w:val="Body"/>
        <w:rPr>
          <w:rFonts w:eastAsia="Arial Unicode MS"/>
        </w:rPr>
      </w:pPr>
      <w:r w:rsidRPr="00283741">
        <w:rPr>
          <w:rFonts w:eastAsia="Arial Unicode MS"/>
        </w:rPr>
        <w:t>In general, a reduction in death benefit within the first seven contract years caused by and equal in amount to a withdrawal is less likely to cause the policy to fail the recomputed seven-pay test than a death benefit reduction without a withdrawal. However, a policy will fail the seven-pay test if, in any year, the cumulative premiums paid to that year exceed the sum of the seven-pay guideline annual premiums to that year.</w:t>
      </w:r>
    </w:p>
    <w:p w:rsidR="005A6A74" w:rsidRDefault="00CD44A4" w:rsidP="00E8192D">
      <w:pPr>
        <w:pStyle w:val="BodyTextIndent"/>
        <w:rPr>
          <w:rFonts w:eastAsia="Arial Unicode MS"/>
        </w:rPr>
      </w:pPr>
      <w:proofErr w:type="gramStart"/>
      <w:r w:rsidRPr="00283741">
        <w:rPr>
          <w:rFonts w:eastAsia="Arial Unicode MS"/>
          <w:i/>
        </w:rPr>
        <w:t>Example.</w:t>
      </w:r>
      <w:proofErr w:type="gramEnd"/>
      <w:r w:rsidRPr="00283741">
        <w:rPr>
          <w:rFonts w:eastAsia="Arial Unicode MS"/>
        </w:rPr>
        <w:t xml:space="preserve"> Assume the guideline annual premium is $10,000 based on the original death benefit. The policyowner pays $9,000 each year for the first 6 years. In year seven, the policyowner withdraws $36,000, with a corresponding decrease in the death benefit. The recomputed guideline premium is $8,000. The policy now fails the seven-pay test and is a MEC </w:t>
      </w:r>
      <w:r>
        <w:rPr>
          <w:rFonts w:eastAsia="Arial Unicode MS"/>
        </w:rPr>
        <w:t xml:space="preserve">because </w:t>
      </w:r>
      <w:r w:rsidRPr="00283741">
        <w:rPr>
          <w:rFonts w:eastAsia="Arial Unicode MS"/>
        </w:rPr>
        <w:t>cumulative premiums paid in just the first year, $9,000, (and through year 6 as well) exceed the sum of the recomputed guideline annual premiums of $8,000.</w:t>
      </w:r>
    </w:p>
    <w:p w:rsidR="005C3786" w:rsidRDefault="00CD44A4" w:rsidP="00E8192D">
      <w:pPr>
        <w:pStyle w:val="Body"/>
        <w:rPr>
          <w:rFonts w:eastAsia="Arial Unicode MS"/>
        </w:rPr>
      </w:pPr>
      <w:r w:rsidRPr="00283741">
        <w:rPr>
          <w:rFonts w:eastAsia="Arial Unicode MS"/>
        </w:rPr>
        <w:t>Any reduction in death benefits attributable to the nonpayment of premiums due under the contract will not trigger a recomputation of the seven-pay test if the benefits are reinstated within 90 days after being reduced.</w:t>
      </w:r>
      <w:r w:rsidRPr="00DA6CA8">
        <w:rPr>
          <w:rStyle w:val="EndnoteReference"/>
          <w:rFonts w:eastAsia="Arial Unicode MS"/>
        </w:rPr>
        <w:endnoteReference w:id="7"/>
      </w:r>
      <w:r w:rsidR="005C3786">
        <w:rPr>
          <w:rFonts w:eastAsia="Arial Unicode MS"/>
        </w:rPr>
        <w:br w:type="page"/>
      </w:r>
    </w:p>
    <w:p w:rsidR="005C3786" w:rsidRDefault="005C3786" w:rsidP="005C3786">
      <w:pPr>
        <w:pStyle w:val="Title2"/>
      </w:pPr>
      <w:r>
        <w:lastRenderedPageBreak/>
        <w:t>Variable and Variable Universal Life</w:t>
      </w:r>
    </w:p>
    <w:p w:rsidR="00B4004F" w:rsidRDefault="00B4004F" w:rsidP="00E8192D">
      <w:pPr>
        <w:pStyle w:val="Body"/>
        <w:rPr>
          <w:rFonts w:eastAsia="Arial Unicode MS"/>
        </w:rPr>
      </w:pPr>
      <w:r w:rsidRPr="00283741">
        <w:rPr>
          <w:rFonts w:eastAsia="Arial Unicode MS"/>
        </w:rPr>
        <w:t xml:space="preserve">A change from option B (face amount plus cash value) </w:t>
      </w:r>
      <w:r>
        <w:rPr>
          <w:rFonts w:eastAsia="Arial Unicode MS"/>
        </w:rPr>
        <w:t xml:space="preserve">or option C (face amount plus return of premium) </w:t>
      </w:r>
      <w:r w:rsidRPr="00283741">
        <w:rPr>
          <w:rFonts w:eastAsia="Arial Unicode MS"/>
        </w:rPr>
        <w:t xml:space="preserve">to option </w:t>
      </w:r>
      <w:proofErr w:type="gramStart"/>
      <w:r w:rsidRPr="00283741">
        <w:rPr>
          <w:rFonts w:eastAsia="Arial Unicode MS"/>
        </w:rPr>
        <w:t>A</w:t>
      </w:r>
      <w:proofErr w:type="gramEnd"/>
      <w:r w:rsidRPr="00283741">
        <w:rPr>
          <w:rFonts w:eastAsia="Arial Unicode MS"/>
        </w:rPr>
        <w:t xml:space="preserve"> (face amount) appears to be a decrease that triggers the look-back rule and a retroactive reapplication of the seven-pay test. In general, one would not expect the switch in options to result in a lower seven-pay limit unless the </w:t>
      </w:r>
      <w:r>
        <w:rPr>
          <w:rFonts w:eastAsia="Arial Unicode MS"/>
        </w:rPr>
        <w:t xml:space="preserve">insurer also reduced the </w:t>
      </w:r>
      <w:r w:rsidRPr="00283741">
        <w:rPr>
          <w:rFonts w:eastAsia="Arial Unicode MS"/>
        </w:rPr>
        <w:t>face amount of insurance to less than the face amount at the time of issue. Therefore, switching from option</w:t>
      </w:r>
      <w:r>
        <w:rPr>
          <w:rFonts w:eastAsia="Arial Unicode MS"/>
        </w:rPr>
        <w:t>s</w:t>
      </w:r>
      <w:r w:rsidRPr="00283741">
        <w:rPr>
          <w:rFonts w:eastAsia="Arial Unicode MS"/>
        </w:rPr>
        <w:t xml:space="preserve"> B</w:t>
      </w:r>
      <w:r>
        <w:rPr>
          <w:rFonts w:eastAsia="Arial Unicode MS"/>
        </w:rPr>
        <w:t xml:space="preserve"> or C</w:t>
      </w:r>
      <w:r w:rsidRPr="00283741">
        <w:rPr>
          <w:rFonts w:eastAsia="Arial Unicode MS"/>
        </w:rPr>
        <w:t xml:space="preserve"> to option A should not, in general, cause the policy to be reclassified as a MEC</w:t>
      </w:r>
      <w:r>
        <w:rPr>
          <w:rFonts w:eastAsia="Arial Unicode MS"/>
        </w:rPr>
        <w:t>.</w:t>
      </w:r>
    </w:p>
    <w:p w:rsidR="00CD44A4" w:rsidRPr="00283741" w:rsidRDefault="00CD44A4" w:rsidP="00E8192D">
      <w:pPr>
        <w:pStyle w:val="Body"/>
        <w:rPr>
          <w:rFonts w:eastAsia="Arial Unicode MS"/>
        </w:rPr>
      </w:pPr>
      <w:r w:rsidRPr="00283741">
        <w:rPr>
          <w:rFonts w:eastAsia="Arial Unicode MS"/>
        </w:rPr>
        <w:t>The term material change is not defined in the statute. However, the statute states that it “includes any increase in future benefits under the contract,”</w:t>
      </w:r>
      <w:r w:rsidRPr="00DA6CA8">
        <w:rPr>
          <w:rStyle w:val="EndnoteReference"/>
          <w:rFonts w:eastAsia="Arial Unicode MS"/>
        </w:rPr>
        <w:endnoteReference w:id="8"/>
      </w:r>
      <w:r w:rsidRPr="00283741">
        <w:rPr>
          <w:rFonts w:eastAsia="Arial Unicode MS"/>
        </w:rPr>
        <w:t xml:space="preserve"> but </w:t>
      </w:r>
      <w:r w:rsidRPr="00283741">
        <w:rPr>
          <w:rFonts w:eastAsia="Arial Unicode MS"/>
          <w:i/>
        </w:rPr>
        <w:t>not</w:t>
      </w:r>
      <w:r w:rsidRPr="00283741">
        <w:rPr>
          <w:rFonts w:eastAsia="Arial Unicode MS"/>
        </w:rPr>
        <w:t xml:space="preserve"> increases attributable to dividends (for paid-up additions), increases in the policy’s cash surrender value attributable to the investment performance of assets underlying the policy, increases necessary to maintain the corridor between the death benefit and the cash surrender value required by the definition of life insurance,</w:t>
      </w:r>
      <w:r w:rsidRPr="00DA6CA8">
        <w:rPr>
          <w:rStyle w:val="EndnoteReference"/>
          <w:rFonts w:eastAsia="Arial Unicode MS"/>
        </w:rPr>
        <w:endnoteReference w:id="9"/>
      </w:r>
      <w:r w:rsidRPr="00283741">
        <w:rPr>
          <w:rFonts w:eastAsia="Arial Unicode MS"/>
        </w:rPr>
        <w:t xml:space="preserve"> or cost of living adjustments.</w:t>
      </w:r>
    </w:p>
    <w:p w:rsidR="00CD44A4" w:rsidRPr="00283741" w:rsidRDefault="00CD44A4" w:rsidP="00E8192D">
      <w:pPr>
        <w:pStyle w:val="Body"/>
        <w:rPr>
          <w:rFonts w:eastAsia="Arial Unicode MS"/>
        </w:rPr>
      </w:pPr>
      <w:r w:rsidRPr="00283741">
        <w:rPr>
          <w:rFonts w:eastAsia="Arial Unicode MS"/>
        </w:rPr>
        <w:t>Clearly, increases in death benefits attributable to cash value increases from favorable investment performance will not trigger testing under the material change rules. Whether changing from option A to option</w:t>
      </w:r>
      <w:r>
        <w:rPr>
          <w:rFonts w:eastAsia="Arial Unicode MS"/>
        </w:rPr>
        <w:t>s</w:t>
      </w:r>
      <w:r w:rsidRPr="00283741">
        <w:rPr>
          <w:rFonts w:eastAsia="Arial Unicode MS"/>
        </w:rPr>
        <w:t xml:space="preserve"> B </w:t>
      </w:r>
      <w:r>
        <w:rPr>
          <w:rFonts w:eastAsia="Arial Unicode MS"/>
        </w:rPr>
        <w:t xml:space="preserve">or C </w:t>
      </w:r>
      <w:r w:rsidRPr="00283741">
        <w:rPr>
          <w:rFonts w:eastAsia="Arial Unicode MS"/>
        </w:rPr>
        <w:t>constitutes a material change in death benefit is unclear. Other increases in death benefits requir</w:t>
      </w:r>
      <w:r>
        <w:rPr>
          <w:rFonts w:eastAsia="Arial Unicode MS"/>
        </w:rPr>
        <w:t>ing</w:t>
      </w:r>
      <w:r w:rsidRPr="00283741">
        <w:rPr>
          <w:rFonts w:eastAsia="Arial Unicode MS"/>
        </w:rPr>
        <w:t xml:space="preserve"> evidence of insurability will be considered material changes that invoke a new seven-pay test. See </w:t>
      </w:r>
      <w:r w:rsidRPr="00E22485">
        <w:rPr>
          <w:rFonts w:eastAsia="Arial Unicode MS"/>
        </w:rPr>
        <w:t xml:space="preserve">Chapter </w:t>
      </w:r>
      <w:r w:rsidRPr="00431853">
        <w:rPr>
          <w:rFonts w:eastAsia="Arial Unicode MS"/>
        </w:rPr>
        <w:t>22, “</w:t>
      </w:r>
      <w:r>
        <w:rPr>
          <w:rFonts w:eastAsia="Arial Unicode MS"/>
        </w:rPr>
        <w:t>Modified Endowment Policies,”</w:t>
      </w:r>
      <w:r w:rsidRPr="00283741">
        <w:rPr>
          <w:rFonts w:eastAsia="Arial Unicode MS"/>
        </w:rPr>
        <w:t xml:space="preserve"> for more information.</w:t>
      </w:r>
    </w:p>
    <w:p w:rsidR="00CD44A4" w:rsidRDefault="00CD44A4" w:rsidP="00E8192D">
      <w:pPr>
        <w:pStyle w:val="NUHeading2"/>
        <w:rPr>
          <w:rFonts w:eastAsia="Arial Unicode MS"/>
        </w:rPr>
      </w:pPr>
      <w:r>
        <w:rPr>
          <w:rFonts w:eastAsia="Arial Unicode MS"/>
        </w:rPr>
        <w:t>Taxation of Capital Gains on the Underlying Assets</w:t>
      </w:r>
    </w:p>
    <w:p w:rsidR="005A6A74" w:rsidRDefault="00CD44A4" w:rsidP="00E8192D">
      <w:pPr>
        <w:pStyle w:val="Body"/>
        <w:rPr>
          <w:rFonts w:eastAsia="Arial Unicode MS"/>
        </w:rPr>
      </w:pPr>
      <w:r>
        <w:rPr>
          <w:rFonts w:eastAsia="Arial Unicode MS"/>
        </w:rPr>
        <w:t xml:space="preserve">Capital appreciation on the assets underlying a VL or VUL policy loses its character as capital gain. To the extent taxable, withdrawals or surrenders are taxed </w:t>
      </w:r>
      <w:proofErr w:type="spellStart"/>
      <w:r>
        <w:rPr>
          <w:rFonts w:eastAsia="Arial Unicode MS"/>
        </w:rPr>
        <w:t>at</w:t>
      </w:r>
      <w:proofErr w:type="spellEnd"/>
      <w:r>
        <w:rPr>
          <w:rFonts w:eastAsia="Arial Unicode MS"/>
        </w:rPr>
        <w:t xml:space="preserve"> ordinary income tax rates. The maximum federal tax table rate on ordinary income is (in 2012) 35 percent, but effective tax rates can be even higher due to the phaseout of personal exemptions and itemized deductions. In contrast, capital appreciation recognized on the sale of similar mutual fund investments is treated as capital gains. The maximum federal tax rate on long-term capital gains is (in 2012) 15 percent. In addition, taxpayers may use capital gains to offset capital losses.</w:t>
      </w:r>
    </w:p>
    <w:p w:rsidR="00CD44A4" w:rsidRDefault="00CD44A4" w:rsidP="00E8192D">
      <w:pPr>
        <w:pStyle w:val="NUHeading2"/>
        <w:rPr>
          <w:rFonts w:eastAsia="Arial Unicode MS"/>
        </w:rPr>
      </w:pPr>
      <w:r>
        <w:rPr>
          <w:rFonts w:eastAsia="Arial Unicode MS"/>
        </w:rPr>
        <w:t>Taxation of Transfers between Investment Funds</w:t>
      </w:r>
    </w:p>
    <w:p w:rsidR="005C3786" w:rsidRDefault="00CD44A4" w:rsidP="00E8192D">
      <w:pPr>
        <w:pStyle w:val="Body"/>
        <w:rPr>
          <w:rFonts w:eastAsia="Arial Unicode MS"/>
        </w:rPr>
      </w:pPr>
      <w:r>
        <w:rPr>
          <w:rFonts w:eastAsia="Arial Unicode MS"/>
        </w:rPr>
        <w:t xml:space="preserve">Transfers or switches between one fund and another offered by an insurer under a VL or VUL policy are tax-free. In contrast, similar switches between funds in a family of mutual funds are treated as taxable sales and repurchases. However, in recent years, legislation has been proposed to tax transfers or switches between one fund and </w:t>
      </w:r>
      <w:r w:rsidR="005C3786">
        <w:rPr>
          <w:rFonts w:eastAsia="Arial Unicode MS"/>
        </w:rPr>
        <w:br w:type="page"/>
      </w:r>
    </w:p>
    <w:p w:rsidR="005C3786" w:rsidRDefault="005C3786" w:rsidP="005C3786">
      <w:pPr>
        <w:pStyle w:val="Title2"/>
      </w:pPr>
      <w:r>
        <w:lastRenderedPageBreak/>
        <w:t>Variable and Variable Universal Life</w:t>
      </w:r>
    </w:p>
    <w:p w:rsidR="00B4004F" w:rsidRDefault="00B4004F" w:rsidP="00B4004F">
      <w:pPr>
        <w:pStyle w:val="Body"/>
      </w:pPr>
      <w:proofErr w:type="gramStart"/>
      <w:r>
        <w:t>another</w:t>
      </w:r>
      <w:proofErr w:type="gramEnd"/>
      <w:r>
        <w:t xml:space="preserve"> under a VL or VUL life policy or annuity in a manner similar to switches between funds in a mutual fund family. Although these proposals have never survived legislative debate, the possibility clearly exists that such proposals could be enacted in the future.</w:t>
      </w:r>
    </w:p>
    <w:p w:rsidR="00CD44A4" w:rsidRDefault="005A6A74" w:rsidP="00E8192D">
      <w:pPr>
        <w:pStyle w:val="Heading1"/>
        <w:rPr>
          <w:rFonts w:eastAsia="Arial Unicode MS"/>
        </w:rPr>
      </w:pPr>
      <w:r>
        <w:rPr>
          <w:rFonts w:eastAsia="Arial Unicode MS"/>
        </w:rPr>
        <w:t>Where and How Do I Get It?</w:t>
      </w:r>
    </w:p>
    <w:p w:rsidR="00CD44A4" w:rsidRDefault="00CD44A4" w:rsidP="00E8192D">
      <w:pPr>
        <w:pStyle w:val="Body"/>
        <w:rPr>
          <w:rFonts w:eastAsia="Arial Unicode MS"/>
        </w:rPr>
      </w:pPr>
      <w:r>
        <w:rPr>
          <w:rFonts w:eastAsia="Arial Unicode MS"/>
        </w:rPr>
        <w:t>Many life insurance companies, including some of the largest, are marketing variable life products. Most of the major stock brokerage firms also market variable life products. Agents who sell variable life products must be properly licensed to sell security products.</w:t>
      </w:r>
    </w:p>
    <w:p w:rsidR="00CD44A4" w:rsidRDefault="005A6A74" w:rsidP="00E8192D">
      <w:pPr>
        <w:pStyle w:val="Heading1"/>
        <w:rPr>
          <w:rFonts w:eastAsia="Arial Unicode MS"/>
        </w:rPr>
      </w:pPr>
      <w:r>
        <w:rPr>
          <w:rFonts w:eastAsia="Arial Unicode MS"/>
        </w:rPr>
        <w:t>How Do I Select the Best of Its Type</w:t>
      </w:r>
      <w:r w:rsidR="00CD44A4">
        <w:rPr>
          <w:rFonts w:eastAsia="Arial Unicode MS"/>
        </w:rPr>
        <w:t>?</w:t>
      </w:r>
    </w:p>
    <w:p w:rsidR="00CD44A4" w:rsidRDefault="00CD44A4" w:rsidP="00E8192D">
      <w:pPr>
        <w:pStyle w:val="Body"/>
        <w:rPr>
          <w:rFonts w:eastAsia="Arial Unicode MS"/>
        </w:rPr>
      </w:pPr>
      <w:r>
        <w:rPr>
          <w:rFonts w:eastAsia="Arial Unicode MS"/>
        </w:rPr>
        <w:t>The key factors in choosing the best VL or VUL policy are the policy loadings and expenses, the suitability and variety of the investment options, and the relative performance of the company’s alternative investment accounts. The prospectus must list and explain the various loadings and charges. However, because there is a great deal of variability in these loadings and expenses, it is difficult to determine which policy provides the lowest effective package of fees over the long term. The best procedure is to ask for policy illustrations with equal face amount and rate of return assumptions and to compare future cash value accumulations. This is not without its problems, however, because the companies may have different current mortality assumptions and may or may not be assuming future improvements in their mortality experience.</w:t>
      </w:r>
    </w:p>
    <w:p w:rsidR="00CD44A4" w:rsidRDefault="00CD44A4" w:rsidP="00E8192D">
      <w:pPr>
        <w:pStyle w:val="Body"/>
        <w:rPr>
          <w:rFonts w:eastAsia="Arial Unicode MS"/>
        </w:rPr>
      </w:pPr>
      <w:r>
        <w:rPr>
          <w:rFonts w:eastAsia="Arial Unicode MS"/>
        </w:rPr>
        <w:t>Some companies offer a broader array of investment options than others. All else being equal, potential policyowners should prefer the company with the broadest array of offerings.</w:t>
      </w:r>
    </w:p>
    <w:p w:rsidR="00CD44A4" w:rsidRPr="00283741" w:rsidRDefault="00CD44A4" w:rsidP="00E8192D">
      <w:pPr>
        <w:pStyle w:val="Body"/>
        <w:rPr>
          <w:rFonts w:eastAsia="Arial Unicode MS"/>
        </w:rPr>
      </w:pPr>
      <w:r>
        <w:rPr>
          <w:rFonts w:eastAsia="Arial Unicode MS"/>
        </w:rPr>
        <w:t>Potential policyowners can evaluate relative performance of various investment accounts in much the same manner as one would evaluate mutual funds. The prospectus provides historical information about total returns, expense ratios, and turnover rates. In addition, it must describe the investment management fees. One should compare similar types of funds offered by each company to control for risk. For example, only compare long-term bond funds with long-term bond funds or diversified stock funds with diversified stock funds. A sophisticated analysis would compare risk-adjusted returns, but that can be a daunting task for less knowledgeable investors.</w:t>
      </w:r>
      <w:r w:rsidRPr="00070D28">
        <w:rPr>
          <w:rStyle w:val="EndnoteReference"/>
          <w:rFonts w:eastAsia="Arial Unicode MS"/>
        </w:rPr>
        <w:endnoteReference w:id="10"/>
      </w:r>
    </w:p>
    <w:p w:rsidR="00CD44A4" w:rsidRDefault="00CD44A4" w:rsidP="00E8192D">
      <w:pPr>
        <w:pStyle w:val="Body"/>
        <w:rPr>
          <w:rFonts w:eastAsia="Arial Unicode MS"/>
        </w:rPr>
      </w:pPr>
      <w:r>
        <w:rPr>
          <w:rFonts w:eastAsia="Arial Unicode MS"/>
        </w:rPr>
        <w:t>All else being equal, look for companies offering funds with the lowest management fees, the lowest turnover rates, the lowest investment expense ratios, and the highest total returns (or best risk-adjusted return).</w:t>
      </w:r>
    </w:p>
    <w:p w:rsidR="005C3786" w:rsidRDefault="005C3786" w:rsidP="00E8192D">
      <w:pPr>
        <w:pStyle w:val="Body"/>
        <w:rPr>
          <w:rFonts w:eastAsia="Arial Unicode MS"/>
        </w:rPr>
      </w:pPr>
      <w:r>
        <w:rPr>
          <w:rFonts w:eastAsia="Arial Unicode MS"/>
        </w:rPr>
        <w:lastRenderedPageBreak/>
        <w:br w:type="page"/>
      </w:r>
    </w:p>
    <w:p w:rsidR="005C3786" w:rsidRDefault="005C3786" w:rsidP="005C3786">
      <w:pPr>
        <w:pStyle w:val="Title2"/>
      </w:pPr>
      <w:r>
        <w:lastRenderedPageBreak/>
        <w:t>Variable and Variable Universal Life</w:t>
      </w:r>
    </w:p>
    <w:p w:rsidR="00B4004F" w:rsidRDefault="00B4004F" w:rsidP="005A6A74">
      <w:pPr>
        <w:pStyle w:val="Body"/>
        <w:rPr>
          <w:b/>
        </w:rPr>
      </w:pPr>
    </w:p>
    <w:p w:rsidR="00B4004F" w:rsidRDefault="00B4004F" w:rsidP="00B4004F">
      <w:pPr>
        <w:pStyle w:val="NUHeading2"/>
        <w:rPr>
          <w:rFonts w:eastAsia="Arial Unicode MS"/>
        </w:rPr>
      </w:pPr>
      <w:r>
        <w:rPr>
          <w:rFonts w:eastAsia="Arial Unicode MS"/>
        </w:rPr>
        <w:t>How to Navigate Through a Variable Life Ledger Statement</w:t>
      </w:r>
    </w:p>
    <w:p w:rsidR="00B4004F" w:rsidRDefault="00B4004F" w:rsidP="005A6A74">
      <w:pPr>
        <w:pStyle w:val="Body"/>
        <w:rPr>
          <w:b/>
        </w:rPr>
      </w:pPr>
      <w:r>
        <w:rPr>
          <w:rFonts w:eastAsia="Arial Unicode MS"/>
        </w:rPr>
        <w:t xml:space="preserve">The principal source of information regarding a new policy is the policy illustration or ledger. Figure </w:t>
      </w:r>
      <w:r w:rsidRPr="00C30053">
        <w:rPr>
          <w:rFonts w:eastAsia="Arial Unicode MS"/>
        </w:rPr>
        <w:t>1</w:t>
      </w:r>
      <w:r>
        <w:rPr>
          <w:rFonts w:eastAsia="Arial Unicode MS"/>
        </w:rPr>
        <w:t xml:space="preserve"> shows an annotated policy illustration with the following commentary</w:t>
      </w:r>
      <w:r w:rsidRPr="00283741">
        <w:rPr>
          <w:rFonts w:eastAsia="Arial Unicode MS"/>
        </w:rPr>
        <w:t>.</w:t>
      </w:r>
      <w:r w:rsidRPr="00070D28">
        <w:rPr>
          <w:rStyle w:val="EndnoteReference"/>
          <w:rFonts w:eastAsia="Arial Unicode MS"/>
        </w:rPr>
        <w:endnoteReference w:id="11"/>
      </w:r>
    </w:p>
    <w:p w:rsidR="00CD44A4" w:rsidRPr="005A6A74" w:rsidRDefault="00B4004F" w:rsidP="005A6A74">
      <w:pPr>
        <w:pStyle w:val="Body"/>
        <w:rPr>
          <w:b/>
        </w:rPr>
      </w:pPr>
      <w:r>
        <w:rPr>
          <w:b/>
        </w:rPr>
        <w:t xml:space="preserve">Figure </w:t>
      </w:r>
      <w:r w:rsidR="00CD44A4" w:rsidRPr="005A6A74">
        <w:rPr>
          <w:b/>
        </w:rPr>
        <w:t>1</w:t>
      </w:r>
    </w:p>
    <w:tbl>
      <w:tblPr>
        <w:tblStyle w:val="NewStyle2014"/>
        <w:tblW w:w="10087" w:type="dxa"/>
        <w:tblLayout w:type="fixed"/>
        <w:tblLook w:val="01E0" w:firstRow="1" w:lastRow="1" w:firstColumn="1" w:lastColumn="1" w:noHBand="0" w:noVBand="0"/>
      </w:tblPr>
      <w:tblGrid>
        <w:gridCol w:w="1098"/>
        <w:gridCol w:w="1260"/>
        <w:gridCol w:w="1429"/>
        <w:gridCol w:w="1080"/>
        <w:gridCol w:w="990"/>
        <w:gridCol w:w="990"/>
        <w:gridCol w:w="1080"/>
        <w:gridCol w:w="1080"/>
        <w:gridCol w:w="1080"/>
      </w:tblGrid>
      <w:tr w:rsidR="00CD44A4" w:rsidRPr="001E3B34" w:rsidTr="005C3786">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087" w:type="dxa"/>
            <w:gridSpan w:val="9"/>
            <w:shd w:val="clear" w:color="auto" w:fill="auto"/>
          </w:tcPr>
          <w:p w:rsidR="00CD44A4" w:rsidRPr="001E3B34" w:rsidRDefault="00CD44A4" w:rsidP="005A6A74">
            <w:pPr>
              <w:pStyle w:val="TableTitle1"/>
            </w:pPr>
            <w:r w:rsidRPr="001E3B34">
              <w:t>LEDGER STATEMENT FOR VARIABLE LIFE</w:t>
            </w:r>
          </w:p>
        </w:tc>
      </w:tr>
      <w:tr w:rsidR="005C3786" w:rsidRPr="00421B93" w:rsidTr="005C3786">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10087" w:type="dxa"/>
            <w:gridSpan w:val="9"/>
            <w:shd w:val="clear" w:color="auto" w:fill="344373"/>
          </w:tcPr>
          <w:p w:rsidR="005C3786" w:rsidRPr="00421B93" w:rsidRDefault="005C3786" w:rsidP="005C3786">
            <w:pPr>
              <w:pStyle w:val="TableHead1"/>
              <w:jc w:val="left"/>
            </w:pPr>
            <w:r w:rsidRPr="001E3B34">
              <w:t>$100,000 Variable Whole Life Plan</w:t>
            </w:r>
            <w:r>
              <w:t xml:space="preserve"> </w:t>
            </w:r>
            <w:r w:rsidRPr="001E3B34">
              <w:rPr>
                <w:b/>
              </w:rPr>
              <w:t>1</w:t>
            </w:r>
          </w:p>
          <w:p w:rsidR="005C3786" w:rsidRPr="00421B93" w:rsidRDefault="005C3786" w:rsidP="005C3786">
            <w:pPr>
              <w:pStyle w:val="TableHead1"/>
              <w:jc w:val="left"/>
            </w:pPr>
            <w:r w:rsidRPr="001E3B34">
              <w:t>For Age 45 Male</w:t>
            </w:r>
            <w:r>
              <w:t xml:space="preserve"> </w:t>
            </w:r>
            <w:r w:rsidRPr="001E3B34">
              <w:rPr>
                <w:b/>
              </w:rPr>
              <w:t>2</w:t>
            </w:r>
          </w:p>
          <w:p w:rsidR="005C3786" w:rsidRPr="00421B93" w:rsidRDefault="005C3786" w:rsidP="005C3786">
            <w:pPr>
              <w:pStyle w:val="TableHead1"/>
              <w:jc w:val="left"/>
            </w:pPr>
            <w:r w:rsidRPr="001E3B34">
              <w:t>Annual Premium $2,394</w:t>
            </w:r>
            <w:r>
              <w:t xml:space="preserve"> </w:t>
            </w:r>
            <w:r w:rsidRPr="001E3B34">
              <w:rPr>
                <w:b/>
              </w:rPr>
              <w:t>3</w:t>
            </w:r>
          </w:p>
          <w:p w:rsidR="005C3786" w:rsidRPr="00421B93" w:rsidRDefault="005C3786" w:rsidP="005A6A74">
            <w:pPr>
              <w:pStyle w:val="TableHead1"/>
            </w:pPr>
            <w:r w:rsidRPr="001E3B34">
              <w:t>4</w:t>
            </w:r>
          </w:p>
          <w:p w:rsidR="005C3786" w:rsidRPr="00421B93" w:rsidRDefault="005C3786" w:rsidP="005A6A74">
            <w:pPr>
              <w:pStyle w:val="TableHead1"/>
            </w:pPr>
            <w:r w:rsidRPr="001E3B34">
              <w:t>Dividends Used to Purchase Paid-up Additions</w:t>
            </w:r>
          </w:p>
        </w:tc>
      </w:tr>
      <w:tr w:rsidR="005A6A74" w:rsidRPr="005A6A74" w:rsidTr="005C3786">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098" w:type="dxa"/>
          </w:tcPr>
          <w:p w:rsidR="00CD44A4" w:rsidRPr="005A6A74" w:rsidRDefault="00CD44A4" w:rsidP="005C3786">
            <w:pPr>
              <w:pStyle w:val="TableHead2"/>
              <w:rPr>
                <w:b/>
                <w:color w:val="auto"/>
              </w:rPr>
            </w:pPr>
            <w:r w:rsidRPr="005A6A74">
              <w:rPr>
                <w:b/>
                <w:color w:val="auto"/>
              </w:rPr>
              <w:t>5</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5A6A74" w:rsidRDefault="00CD44A4" w:rsidP="005A6A74">
            <w:pPr>
              <w:pStyle w:val="TableHead2"/>
              <w:rPr>
                <w:b/>
                <w:color w:val="auto"/>
              </w:rPr>
            </w:pPr>
            <w:r w:rsidRPr="005A6A74">
              <w:rPr>
                <w:b/>
                <w:color w:val="auto"/>
              </w:rPr>
              <w:t>6</w:t>
            </w:r>
          </w:p>
        </w:tc>
        <w:tc>
          <w:tcPr>
            <w:tcW w:w="1429" w:type="dxa"/>
          </w:tcPr>
          <w:p w:rsidR="00CD44A4" w:rsidRPr="005A6A74" w:rsidRDefault="00CD44A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7</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5A6A74" w:rsidRDefault="00CD44A4" w:rsidP="005A6A74">
            <w:pPr>
              <w:pStyle w:val="TableHead2"/>
              <w:rPr>
                <w:b/>
                <w:color w:val="auto"/>
              </w:rPr>
            </w:pPr>
            <w:r w:rsidRPr="005A6A74">
              <w:rPr>
                <w:b/>
                <w:color w:val="auto"/>
              </w:rPr>
              <w:t>8</w:t>
            </w:r>
          </w:p>
        </w:tc>
        <w:tc>
          <w:tcPr>
            <w:tcW w:w="990" w:type="dxa"/>
          </w:tcPr>
          <w:p w:rsidR="00CD44A4" w:rsidRPr="005A6A74" w:rsidRDefault="00CD44A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9</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5A6A74" w:rsidRDefault="00CD44A4" w:rsidP="005A6A74">
            <w:pPr>
              <w:pStyle w:val="TableHead2"/>
              <w:rPr>
                <w:b/>
                <w:color w:val="auto"/>
              </w:rPr>
            </w:pPr>
            <w:r w:rsidRPr="005A6A74">
              <w:rPr>
                <w:b/>
                <w:color w:val="auto"/>
              </w:rPr>
              <w:t>10</w:t>
            </w:r>
          </w:p>
        </w:tc>
        <w:tc>
          <w:tcPr>
            <w:tcW w:w="1080" w:type="dxa"/>
          </w:tcPr>
          <w:p w:rsidR="00CD44A4" w:rsidRPr="005A6A74" w:rsidRDefault="00CD44A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11</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5A6A74" w:rsidRDefault="00CD44A4" w:rsidP="005A6A74">
            <w:pPr>
              <w:pStyle w:val="TableHead2"/>
              <w:rPr>
                <w:b/>
                <w:color w:val="auto"/>
              </w:rPr>
            </w:pPr>
            <w:r w:rsidRPr="005A6A74">
              <w:rPr>
                <w:b/>
                <w:color w:val="auto"/>
              </w:rPr>
              <w:t>12</w:t>
            </w:r>
          </w:p>
        </w:tc>
        <w:tc>
          <w:tcPr>
            <w:tcW w:w="1080" w:type="dxa"/>
          </w:tcPr>
          <w:p w:rsidR="00CD44A4" w:rsidRPr="005A6A74" w:rsidRDefault="00CD44A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13</w:t>
            </w:r>
          </w:p>
        </w:tc>
      </w:tr>
      <w:tr w:rsidR="005A6A74" w:rsidRPr="005A6A74" w:rsidTr="005C3786">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D9D9D9" w:themeFill="background1" w:themeFillShade="D9"/>
          </w:tcPr>
          <w:p w:rsidR="005A6A74" w:rsidRPr="005A6A74" w:rsidRDefault="005A6A74" w:rsidP="005A6A74">
            <w:pPr>
              <w:pStyle w:val="TableHead2"/>
              <w:rPr>
                <w:b/>
                <w:color w:val="auto"/>
              </w:rPr>
            </w:pPr>
            <w:r w:rsidRPr="005A6A74">
              <w:rPr>
                <w:b/>
                <w:color w:val="auto"/>
              </w:rPr>
              <w:t>End of Year</w:t>
            </w:r>
          </w:p>
        </w:tc>
        <w:tc>
          <w:tcPr>
            <w:cnfStyle w:val="000010000000" w:firstRow="0" w:lastRow="0" w:firstColumn="0" w:lastColumn="0" w:oddVBand="1" w:evenVBand="0" w:oddHBand="0" w:evenHBand="0" w:firstRowFirstColumn="0" w:firstRowLastColumn="0" w:lastRowFirstColumn="0" w:lastRowLastColumn="0"/>
            <w:tcW w:w="1260" w:type="dxa"/>
            <w:vMerge w:val="restart"/>
            <w:shd w:val="clear" w:color="auto" w:fill="D9D9D9" w:themeFill="background1" w:themeFillShade="D9"/>
          </w:tcPr>
          <w:p w:rsidR="005A6A74" w:rsidRPr="005A6A74" w:rsidRDefault="005A6A74" w:rsidP="005A6A74">
            <w:pPr>
              <w:pStyle w:val="TableHead2"/>
              <w:rPr>
                <w:b/>
                <w:color w:val="auto"/>
              </w:rPr>
            </w:pPr>
            <w:r w:rsidRPr="005A6A74">
              <w:rPr>
                <w:b/>
                <w:color w:val="auto"/>
              </w:rPr>
              <w:t>Annual Premium</w:t>
            </w:r>
          </w:p>
        </w:tc>
        <w:tc>
          <w:tcPr>
            <w:tcW w:w="1429" w:type="dxa"/>
            <w:vMerge w:val="restart"/>
            <w:shd w:val="clear" w:color="auto" w:fill="D9D9D9" w:themeFill="background1" w:themeFillShade="D9"/>
          </w:tcPr>
          <w:p w:rsidR="005A6A74" w:rsidRPr="005A6A74" w:rsidRDefault="005A6A74" w:rsidP="005A6A74">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5A6A74">
              <w:rPr>
                <w:b/>
                <w:color w:val="auto"/>
              </w:rPr>
              <w:t>Premiums Accumulated at 5%</w:t>
            </w:r>
          </w:p>
        </w:tc>
        <w:tc>
          <w:tcPr>
            <w:cnfStyle w:val="000010000000" w:firstRow="0" w:lastRow="0" w:firstColumn="0" w:lastColumn="0" w:oddVBand="1" w:evenVBand="0" w:oddHBand="0" w:evenHBand="0" w:firstRowFirstColumn="0" w:firstRowLastColumn="0" w:lastRowFirstColumn="0" w:lastRowLastColumn="0"/>
            <w:tcW w:w="3060" w:type="dxa"/>
            <w:gridSpan w:val="3"/>
            <w:shd w:val="clear" w:color="auto" w:fill="D9D9D9" w:themeFill="background1" w:themeFillShade="D9"/>
          </w:tcPr>
          <w:p w:rsidR="005A6A74" w:rsidRPr="005A6A74" w:rsidRDefault="005A6A74" w:rsidP="005A6A74">
            <w:pPr>
              <w:pStyle w:val="TableHead2"/>
              <w:rPr>
                <w:b/>
                <w:color w:val="auto"/>
              </w:rPr>
            </w:pPr>
            <w:r w:rsidRPr="005A6A74">
              <w:rPr>
                <w:b/>
                <w:color w:val="auto"/>
              </w:rPr>
              <w:t>Death Benefit*</w:t>
            </w:r>
            <w:r w:rsidRPr="005A6A74">
              <w:rPr>
                <w:b/>
                <w:color w:val="auto"/>
              </w:rPr>
              <w:br/>
              <w:t>Assumed Investment Returns</w:t>
            </w:r>
          </w:p>
        </w:tc>
        <w:tc>
          <w:tcPr>
            <w:tcW w:w="3240" w:type="dxa"/>
            <w:gridSpan w:val="3"/>
            <w:shd w:val="clear" w:color="auto" w:fill="D9D9D9" w:themeFill="background1" w:themeFillShade="D9"/>
          </w:tcPr>
          <w:p w:rsidR="005A6A74" w:rsidRPr="005A6A74" w:rsidRDefault="005A6A74" w:rsidP="005A6A74">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5A6A74">
              <w:rPr>
                <w:b/>
                <w:color w:val="auto"/>
              </w:rPr>
              <w:t>Cash Value*</w:t>
            </w:r>
            <w:r w:rsidRPr="005A6A74">
              <w:rPr>
                <w:b/>
                <w:color w:val="auto"/>
              </w:rPr>
              <w:br/>
              <w:t>Assumed Investment Returns</w:t>
            </w:r>
          </w:p>
        </w:tc>
      </w:tr>
      <w:tr w:rsidR="005A6A74" w:rsidRPr="005A6A74" w:rsidTr="005C378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098" w:type="dxa"/>
            <w:vMerge/>
          </w:tcPr>
          <w:p w:rsidR="005A6A74" w:rsidRPr="005A6A74" w:rsidRDefault="005A6A74" w:rsidP="005A6A74">
            <w:pPr>
              <w:pStyle w:val="TableHead2"/>
              <w:rPr>
                <w:b/>
                <w:color w:val="auto"/>
              </w:rPr>
            </w:pPr>
          </w:p>
        </w:tc>
        <w:tc>
          <w:tcPr>
            <w:cnfStyle w:val="000010000000" w:firstRow="0" w:lastRow="0" w:firstColumn="0" w:lastColumn="0" w:oddVBand="1" w:evenVBand="0" w:oddHBand="0" w:evenHBand="0" w:firstRowFirstColumn="0" w:firstRowLastColumn="0" w:lastRowFirstColumn="0" w:lastRowLastColumn="0"/>
            <w:tcW w:w="1260" w:type="dxa"/>
            <w:vMerge/>
          </w:tcPr>
          <w:p w:rsidR="005A6A74" w:rsidRPr="005A6A74" w:rsidRDefault="005A6A74" w:rsidP="005A6A74">
            <w:pPr>
              <w:pStyle w:val="TableHead2"/>
              <w:rPr>
                <w:b/>
                <w:color w:val="auto"/>
              </w:rPr>
            </w:pPr>
          </w:p>
        </w:tc>
        <w:tc>
          <w:tcPr>
            <w:tcW w:w="1429" w:type="dxa"/>
            <w:vMerge/>
          </w:tcPr>
          <w:p w:rsidR="005A6A74" w:rsidRPr="005A6A74" w:rsidRDefault="005A6A7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p>
        </w:tc>
        <w:tc>
          <w:tcPr>
            <w:cnfStyle w:val="000010000000" w:firstRow="0" w:lastRow="0" w:firstColumn="0" w:lastColumn="0" w:oddVBand="1" w:evenVBand="0" w:oddHBand="0" w:evenHBand="0" w:firstRowFirstColumn="0" w:firstRowLastColumn="0" w:lastRowFirstColumn="0" w:lastRowLastColumn="0"/>
            <w:tcW w:w="1080" w:type="dxa"/>
          </w:tcPr>
          <w:p w:rsidR="005A6A74" w:rsidRPr="005A6A74" w:rsidRDefault="005A6A74" w:rsidP="005A6A74">
            <w:pPr>
              <w:pStyle w:val="TableHead2"/>
              <w:rPr>
                <w:b/>
                <w:color w:val="auto"/>
              </w:rPr>
            </w:pPr>
            <w:r w:rsidRPr="005A6A74">
              <w:rPr>
                <w:b/>
                <w:color w:val="auto"/>
              </w:rPr>
              <w:t>0%</w:t>
            </w:r>
          </w:p>
        </w:tc>
        <w:tc>
          <w:tcPr>
            <w:tcW w:w="990" w:type="dxa"/>
          </w:tcPr>
          <w:p w:rsidR="005A6A74" w:rsidRPr="005A6A74" w:rsidRDefault="005A6A7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6%</w:t>
            </w:r>
          </w:p>
        </w:tc>
        <w:tc>
          <w:tcPr>
            <w:cnfStyle w:val="000010000000" w:firstRow="0" w:lastRow="0" w:firstColumn="0" w:lastColumn="0" w:oddVBand="1" w:evenVBand="0" w:oddHBand="0" w:evenHBand="0" w:firstRowFirstColumn="0" w:firstRowLastColumn="0" w:lastRowFirstColumn="0" w:lastRowLastColumn="0"/>
            <w:tcW w:w="990" w:type="dxa"/>
          </w:tcPr>
          <w:p w:rsidR="005A6A74" w:rsidRPr="005A6A74" w:rsidRDefault="005A6A74" w:rsidP="005A6A74">
            <w:pPr>
              <w:pStyle w:val="TableHead2"/>
              <w:rPr>
                <w:b/>
                <w:color w:val="auto"/>
              </w:rPr>
            </w:pPr>
            <w:r w:rsidRPr="005A6A74">
              <w:rPr>
                <w:b/>
                <w:color w:val="auto"/>
              </w:rPr>
              <w:t>12%</w:t>
            </w:r>
          </w:p>
        </w:tc>
        <w:tc>
          <w:tcPr>
            <w:tcW w:w="1080" w:type="dxa"/>
          </w:tcPr>
          <w:p w:rsidR="005A6A74" w:rsidRPr="005A6A74" w:rsidRDefault="005A6A7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0%</w:t>
            </w:r>
          </w:p>
        </w:tc>
        <w:tc>
          <w:tcPr>
            <w:cnfStyle w:val="000010000000" w:firstRow="0" w:lastRow="0" w:firstColumn="0" w:lastColumn="0" w:oddVBand="1" w:evenVBand="0" w:oddHBand="0" w:evenHBand="0" w:firstRowFirstColumn="0" w:firstRowLastColumn="0" w:lastRowFirstColumn="0" w:lastRowLastColumn="0"/>
            <w:tcW w:w="1080" w:type="dxa"/>
          </w:tcPr>
          <w:p w:rsidR="005A6A74" w:rsidRPr="005A6A74" w:rsidRDefault="005A6A74" w:rsidP="005A6A74">
            <w:pPr>
              <w:pStyle w:val="TableHead2"/>
              <w:rPr>
                <w:b/>
                <w:color w:val="auto"/>
              </w:rPr>
            </w:pPr>
            <w:r w:rsidRPr="005A6A74">
              <w:rPr>
                <w:b/>
                <w:color w:val="auto"/>
              </w:rPr>
              <w:t>6%</w:t>
            </w:r>
          </w:p>
        </w:tc>
        <w:tc>
          <w:tcPr>
            <w:tcW w:w="1080" w:type="dxa"/>
          </w:tcPr>
          <w:p w:rsidR="005A6A74" w:rsidRPr="005A6A74" w:rsidRDefault="005A6A74" w:rsidP="005A6A74">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12%</w:t>
            </w:r>
          </w:p>
        </w:tc>
      </w:tr>
      <w:tr w:rsidR="00CD44A4"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1</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w:t>
            </w:r>
            <w:r>
              <w:t xml:space="preserve"> </w:t>
            </w:r>
            <w:r w:rsidRPr="001E3B34">
              <w:t>2,514</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$101,367</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$101,391</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$101,532</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w:t>
            </w:r>
            <w:r>
              <w:t xml:space="preserve"> </w:t>
            </w:r>
            <w:r w:rsidRPr="001E3B34">
              <w:t>1,103</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w:t>
            </w:r>
            <w:r>
              <w:t xml:space="preserve"> </w:t>
            </w:r>
            <w:r w:rsidRPr="001E3B34">
              <w:t>1,154</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w:t>
            </w:r>
            <w:r>
              <w:t xml:space="preserve"> </w:t>
            </w:r>
            <w:r w:rsidRPr="001E3B34">
              <w:t>1,205</w:t>
            </w:r>
          </w:p>
        </w:tc>
      </w:tr>
      <w:tr w:rsidR="00CD44A4"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2</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5,153</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102,707</w:t>
            </w:r>
          </w:p>
        </w:tc>
        <w:tc>
          <w:tcPr>
            <w:tcW w:w="99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103,880</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103,510</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3,145</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3,372</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3,606</w:t>
            </w:r>
          </w:p>
        </w:tc>
      </w:tr>
      <w:tr w:rsidR="00CD44A4"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3</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7,924</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104,024</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104,471</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105,962</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5,164</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5,700</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6,268</w:t>
            </w:r>
          </w:p>
        </w:tc>
      </w:tr>
      <w:tr w:rsidR="00CD44A4"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4</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10,834</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105,304</w:t>
            </w:r>
          </w:p>
        </w:tc>
        <w:tc>
          <w:tcPr>
            <w:tcW w:w="99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106,157</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108,904</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7,156</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8,137</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9,216</w:t>
            </w:r>
          </w:p>
        </w:tc>
      </w:tr>
      <w:tr w:rsidR="00CD44A4"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5</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13,890</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106,549</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197,941</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112,382</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9,201</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10,776</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12,572</w:t>
            </w:r>
          </w:p>
        </w:tc>
      </w:tr>
      <w:tr w:rsidR="00CD44A4"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6</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17,098</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107,749</w:t>
            </w:r>
          </w:p>
        </w:tc>
        <w:tc>
          <w:tcPr>
            <w:tcW w:w="99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109,818</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116,420</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11,214</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13,536</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16,286</w:t>
            </w:r>
          </w:p>
        </w:tc>
      </w:tr>
      <w:tr w:rsidR="00CD44A4"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7</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20,467</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108,910</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111,797</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121,060</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13,190</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16,422</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20,395</w:t>
            </w:r>
          </w:p>
        </w:tc>
      </w:tr>
      <w:tr w:rsidR="00CD44A4"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8</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24,004</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110,023</w:t>
            </w:r>
          </w:p>
        </w:tc>
        <w:tc>
          <w:tcPr>
            <w:tcW w:w="99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113,872</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126,335</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15,126</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19,434</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24,935</w:t>
            </w:r>
          </w:p>
        </w:tc>
      </w:tr>
      <w:tr w:rsidR="00CD44A4"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9</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27,717</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111,088</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116,046</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132,287</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17,013</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22,573</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29,949</w:t>
            </w:r>
          </w:p>
        </w:tc>
      </w:tr>
      <w:tr w:rsidR="00CD44A4"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10</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31,617</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112,107</w:t>
            </w:r>
          </w:p>
        </w:tc>
        <w:tc>
          <w:tcPr>
            <w:tcW w:w="99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118,327</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138,968</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18,853</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25,845</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35,485</w:t>
            </w:r>
          </w:p>
        </w:tc>
      </w:tr>
      <w:tr w:rsidR="005C3786"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11</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35,712</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113,068</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120,705</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146,416</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20,634</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29,248</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41,591</w:t>
            </w:r>
          </w:p>
        </w:tc>
      </w:tr>
      <w:tr w:rsidR="005C3786"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12</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40,011</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113,961</w:t>
            </w:r>
          </w:p>
        </w:tc>
        <w:tc>
          <w:tcPr>
            <w:tcW w:w="99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123,176</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154,678</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22,351</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32,782</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48,320</w:t>
            </w:r>
          </w:p>
        </w:tc>
      </w:tr>
      <w:tr w:rsidR="005C3786"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13</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44,525</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114,772</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125,729</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163,796</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23,999</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36,451</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55,733</w:t>
            </w:r>
          </w:p>
        </w:tc>
      </w:tr>
      <w:tr w:rsidR="005C3786" w:rsidRPr="00421B93" w:rsidTr="005C37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14</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10000000000" w:firstRow="0" w:lastRow="1" w:firstColumn="0" w:lastColumn="0" w:oddVBand="0" w:evenVBand="0" w:oddHBand="0" w:evenHBand="0" w:firstRowFirstColumn="0" w:firstRowLastColumn="0" w:lastRowFirstColumn="0" w:lastRowLastColumn="0"/>
            </w:pPr>
            <w:r w:rsidRPr="001E3B34">
              <w:t>49,265</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115,490</w:t>
            </w:r>
          </w:p>
        </w:tc>
        <w:tc>
          <w:tcPr>
            <w:tcW w:w="990" w:type="dxa"/>
          </w:tcPr>
          <w:p w:rsidR="00CD44A4" w:rsidRPr="001E3B34" w:rsidRDefault="00CD44A4" w:rsidP="005A6A74">
            <w:pPr>
              <w:pStyle w:val="TableBody"/>
              <w:jc w:val="center"/>
              <w:cnfStyle w:val="010000000000" w:firstRow="0" w:lastRow="1" w:firstColumn="0" w:lastColumn="0" w:oddVBand="0" w:evenVBand="0" w:oddHBand="0" w:evenHBand="0" w:firstRowFirstColumn="0" w:firstRowLastColumn="0" w:lastRowFirstColumn="0" w:lastRowLastColumn="0"/>
            </w:pPr>
            <w:r w:rsidRPr="001E3B34">
              <w:t>128,357</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173,818</w:t>
            </w:r>
          </w:p>
        </w:tc>
        <w:tc>
          <w:tcPr>
            <w:tcW w:w="1080" w:type="dxa"/>
          </w:tcPr>
          <w:p w:rsidR="00CD44A4" w:rsidRPr="001E3B34" w:rsidRDefault="00CD44A4" w:rsidP="005A6A74">
            <w:pPr>
              <w:pStyle w:val="TableBody"/>
              <w:jc w:val="center"/>
              <w:cnfStyle w:val="010000000000" w:firstRow="0" w:lastRow="1" w:firstColumn="0" w:lastColumn="0" w:oddVBand="0" w:evenVBand="0" w:oddHBand="0" w:evenHBand="0" w:firstRowFirstColumn="0" w:firstRowLastColumn="0" w:lastRowFirstColumn="0" w:lastRowLastColumn="0"/>
            </w:pPr>
            <w:r w:rsidRPr="001E3B34">
              <w:t>25,570</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40,255</w:t>
            </w:r>
          </w:p>
        </w:tc>
        <w:tc>
          <w:tcPr>
            <w:tcW w:w="1080" w:type="dxa"/>
          </w:tcPr>
          <w:p w:rsidR="00CD44A4" w:rsidRPr="001E3B34" w:rsidRDefault="00CD44A4" w:rsidP="005A6A74">
            <w:pPr>
              <w:pStyle w:val="TableBody"/>
              <w:jc w:val="center"/>
              <w:cnfStyle w:val="010000000000" w:firstRow="0" w:lastRow="1" w:firstColumn="0" w:lastColumn="0" w:oddVBand="0" w:evenVBand="0" w:oddHBand="0" w:evenHBand="0" w:firstRowFirstColumn="0" w:firstRowLastColumn="0" w:lastRowFirstColumn="0" w:lastRowLastColumn="0"/>
            </w:pPr>
            <w:r w:rsidRPr="001E3B34">
              <w:t>63,896</w:t>
            </w:r>
          </w:p>
        </w:tc>
      </w:tr>
    </w:tbl>
    <w:p w:rsidR="005C3786" w:rsidRDefault="005C3786" w:rsidP="00B4004F">
      <w:pPr>
        <w:pStyle w:val="TableBody"/>
        <w:tabs>
          <w:tab w:val="left" w:pos="1386"/>
          <w:tab w:val="left" w:pos="2646"/>
          <w:tab w:val="left" w:pos="3996"/>
          <w:tab w:val="left" w:pos="5076"/>
          <w:tab w:val="left" w:pos="6066"/>
          <w:tab w:val="left" w:pos="7056"/>
          <w:tab w:val="left" w:pos="8136"/>
          <w:tab w:val="left" w:pos="9216"/>
        </w:tabs>
      </w:pPr>
      <w:r>
        <w:br w:type="page"/>
      </w:r>
    </w:p>
    <w:p w:rsidR="005C3786" w:rsidRDefault="005C3786" w:rsidP="005C3786">
      <w:pPr>
        <w:pStyle w:val="Title2"/>
      </w:pPr>
      <w:r>
        <w:lastRenderedPageBreak/>
        <w:t>Variable and Variable Universal Life</w:t>
      </w:r>
    </w:p>
    <w:p w:rsidR="00B4004F" w:rsidRDefault="00B4004F" w:rsidP="005C3786">
      <w:pPr>
        <w:pStyle w:val="Body"/>
        <w:rPr>
          <w:b/>
        </w:rPr>
      </w:pPr>
    </w:p>
    <w:tbl>
      <w:tblPr>
        <w:tblStyle w:val="NewStyle2014"/>
        <w:tblW w:w="10087" w:type="dxa"/>
        <w:tblLayout w:type="fixed"/>
        <w:tblLook w:val="01E0" w:firstRow="1" w:lastRow="1" w:firstColumn="1" w:lastColumn="1" w:noHBand="0" w:noVBand="0"/>
      </w:tblPr>
      <w:tblGrid>
        <w:gridCol w:w="1098"/>
        <w:gridCol w:w="1260"/>
        <w:gridCol w:w="1429"/>
        <w:gridCol w:w="1080"/>
        <w:gridCol w:w="990"/>
        <w:gridCol w:w="990"/>
        <w:gridCol w:w="1080"/>
        <w:gridCol w:w="1080"/>
        <w:gridCol w:w="1080"/>
      </w:tblGrid>
      <w:tr w:rsidR="00B4004F" w:rsidRPr="001E3B34" w:rsidTr="00E11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4004F" w:rsidRPr="001E3B34" w:rsidRDefault="00B4004F" w:rsidP="00E11E3C">
            <w:pPr>
              <w:pStyle w:val="TableBody"/>
            </w:pPr>
            <w:r w:rsidRPr="001E3B34">
              <w:t>15</w:t>
            </w:r>
          </w:p>
        </w:tc>
        <w:tc>
          <w:tcPr>
            <w:cnfStyle w:val="000010000000" w:firstRow="0" w:lastRow="0" w:firstColumn="0" w:lastColumn="0" w:oddVBand="1" w:evenVBand="0" w:oddHBand="0" w:evenHBand="0" w:firstRowFirstColumn="0" w:firstRowLastColumn="0" w:lastRowFirstColumn="0" w:lastRowLastColumn="0"/>
            <w:tcW w:w="1260" w:type="dxa"/>
          </w:tcPr>
          <w:p w:rsidR="00B4004F" w:rsidRPr="001E3B34" w:rsidRDefault="00B4004F" w:rsidP="00E11E3C">
            <w:pPr>
              <w:pStyle w:val="TableBody"/>
            </w:pPr>
            <w:r w:rsidRPr="001E3B34">
              <w:t>2,394</w:t>
            </w:r>
          </w:p>
        </w:tc>
        <w:tc>
          <w:tcPr>
            <w:tcW w:w="1429" w:type="dxa"/>
          </w:tcPr>
          <w:p w:rsidR="00B4004F" w:rsidRPr="001E3B34" w:rsidRDefault="00B4004F" w:rsidP="00E11E3C">
            <w:pPr>
              <w:pStyle w:val="TableBody"/>
              <w:cnfStyle w:val="100000000000" w:firstRow="1" w:lastRow="0" w:firstColumn="0" w:lastColumn="0" w:oddVBand="0" w:evenVBand="0" w:oddHBand="0" w:evenHBand="0" w:firstRowFirstColumn="0" w:firstRowLastColumn="0" w:lastRowFirstColumn="0" w:lastRowLastColumn="0"/>
            </w:pPr>
            <w:r w:rsidRPr="001E3B34">
              <w:t>54,242</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pPr>
            <w:r w:rsidRPr="001E3B34">
              <w:t>116,104</w:t>
            </w:r>
          </w:p>
        </w:tc>
        <w:tc>
          <w:tcPr>
            <w:tcW w:w="990" w:type="dxa"/>
          </w:tcPr>
          <w:p w:rsidR="00B4004F" w:rsidRPr="001E3B34" w:rsidRDefault="00B4004F" w:rsidP="00E11E3C">
            <w:pPr>
              <w:pStyle w:val="TableBody"/>
              <w:cnfStyle w:val="100000000000" w:firstRow="1" w:lastRow="0" w:firstColumn="0" w:lastColumn="0" w:oddVBand="0" w:evenVBand="0" w:oddHBand="0" w:evenHBand="0" w:firstRowFirstColumn="0" w:firstRowLastColumn="0" w:lastRowFirstColumn="0" w:lastRowLastColumn="0"/>
            </w:pPr>
            <w:r w:rsidRPr="001E3B34">
              <w:t>131,052</w:t>
            </w:r>
          </w:p>
        </w:tc>
        <w:tc>
          <w:tcPr>
            <w:cnfStyle w:val="000010000000" w:firstRow="0" w:lastRow="0" w:firstColumn="0" w:lastColumn="0" w:oddVBand="1" w:evenVBand="0" w:oddHBand="0" w:evenHBand="0" w:firstRowFirstColumn="0" w:firstRowLastColumn="0" w:lastRowFirstColumn="0" w:lastRowLastColumn="0"/>
            <w:tcW w:w="990" w:type="dxa"/>
          </w:tcPr>
          <w:p w:rsidR="00B4004F" w:rsidRPr="001E3B34" w:rsidRDefault="00B4004F" w:rsidP="00E11E3C">
            <w:pPr>
              <w:pStyle w:val="TableBody"/>
            </w:pPr>
            <w:r w:rsidRPr="001E3B34">
              <w:t>184,800</w:t>
            </w:r>
          </w:p>
        </w:tc>
        <w:tc>
          <w:tcPr>
            <w:tcW w:w="1080" w:type="dxa"/>
          </w:tcPr>
          <w:p w:rsidR="00B4004F" w:rsidRPr="001E3B34" w:rsidRDefault="00B4004F" w:rsidP="00E11E3C">
            <w:pPr>
              <w:pStyle w:val="TableBody"/>
              <w:cnfStyle w:val="100000000000" w:firstRow="1" w:lastRow="0" w:firstColumn="0" w:lastColumn="0" w:oddVBand="0" w:evenVBand="0" w:oddHBand="0" w:evenHBand="0" w:firstRowFirstColumn="0" w:firstRowLastColumn="0" w:lastRowFirstColumn="0" w:lastRowLastColumn="0"/>
            </w:pPr>
            <w:r w:rsidRPr="001E3B34">
              <w:t>27,055</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pPr>
            <w:r w:rsidRPr="001E3B34">
              <w:t>44,192</w:t>
            </w:r>
          </w:p>
        </w:tc>
        <w:tc>
          <w:tcPr>
            <w:tcW w:w="1080" w:type="dxa"/>
          </w:tcPr>
          <w:p w:rsidR="00B4004F" w:rsidRPr="001E3B34" w:rsidRDefault="00B4004F" w:rsidP="00E11E3C">
            <w:pPr>
              <w:pStyle w:val="TableBody"/>
              <w:cnfStyle w:val="100000000000" w:firstRow="1" w:lastRow="0" w:firstColumn="0" w:lastColumn="0" w:oddVBand="0" w:evenVBand="0" w:oddHBand="0" w:evenHBand="0" w:firstRowFirstColumn="0" w:firstRowLastColumn="0" w:lastRowFirstColumn="0" w:lastRowLastColumn="0"/>
            </w:pPr>
            <w:r w:rsidRPr="001E3B34">
              <w:t>72,874</w:t>
            </w:r>
          </w:p>
        </w:tc>
      </w:tr>
      <w:tr w:rsidR="00B4004F" w:rsidRPr="001E3B34" w:rsidTr="00E1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4004F" w:rsidRPr="001E3B34" w:rsidRDefault="00B4004F" w:rsidP="00E11E3C">
            <w:pPr>
              <w:pStyle w:val="TableBody"/>
              <w:jc w:val="center"/>
            </w:pPr>
            <w:r w:rsidRPr="001E3B34">
              <w:t>16</w:t>
            </w:r>
          </w:p>
        </w:tc>
        <w:tc>
          <w:tcPr>
            <w:cnfStyle w:val="000010000000" w:firstRow="0" w:lastRow="0" w:firstColumn="0" w:lastColumn="0" w:oddVBand="1" w:evenVBand="0" w:oddHBand="0" w:evenHBand="0" w:firstRowFirstColumn="0" w:firstRowLastColumn="0" w:lastRowFirstColumn="0" w:lastRowLastColumn="0"/>
            <w:tcW w:w="1260" w:type="dxa"/>
          </w:tcPr>
          <w:p w:rsidR="00B4004F" w:rsidRPr="001E3B34" w:rsidRDefault="00B4004F" w:rsidP="00E11E3C">
            <w:pPr>
              <w:pStyle w:val="TableBody"/>
              <w:jc w:val="center"/>
            </w:pPr>
            <w:r w:rsidRPr="001E3B34">
              <w:t>2,394</w:t>
            </w:r>
          </w:p>
        </w:tc>
        <w:tc>
          <w:tcPr>
            <w:tcW w:w="1429"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59,468</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116,604</w:t>
            </w:r>
          </w:p>
        </w:tc>
        <w:tc>
          <w:tcPr>
            <w:tcW w:w="990"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133,808</w:t>
            </w:r>
          </w:p>
        </w:tc>
        <w:tc>
          <w:tcPr>
            <w:cnfStyle w:val="000010000000" w:firstRow="0" w:lastRow="0" w:firstColumn="0" w:lastColumn="0" w:oddVBand="1" w:evenVBand="0" w:oddHBand="0" w:evenHBand="0" w:firstRowFirstColumn="0" w:firstRowLastColumn="0" w:lastRowFirstColumn="0" w:lastRowLastColumn="0"/>
            <w:tcW w:w="990" w:type="dxa"/>
          </w:tcPr>
          <w:p w:rsidR="00B4004F" w:rsidRPr="001E3B34" w:rsidRDefault="00B4004F" w:rsidP="00E11E3C">
            <w:pPr>
              <w:pStyle w:val="TableBody"/>
              <w:jc w:val="center"/>
            </w:pPr>
            <w:r w:rsidRPr="001E3B34">
              <w:t>196,801</w:t>
            </w:r>
          </w:p>
        </w:tc>
        <w:tc>
          <w:tcPr>
            <w:tcW w:w="1080"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28,444</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48,262</w:t>
            </w:r>
          </w:p>
        </w:tc>
        <w:tc>
          <w:tcPr>
            <w:tcW w:w="1080"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82,743</w:t>
            </w:r>
          </w:p>
        </w:tc>
      </w:tr>
      <w:tr w:rsidR="00B4004F" w:rsidRPr="001E3B34" w:rsidTr="00E11E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4004F" w:rsidRPr="001E3B34" w:rsidRDefault="00B4004F" w:rsidP="00E11E3C">
            <w:pPr>
              <w:pStyle w:val="TableBody"/>
              <w:jc w:val="center"/>
            </w:pPr>
            <w:r w:rsidRPr="001E3B34">
              <w:t>17</w:t>
            </w:r>
          </w:p>
        </w:tc>
        <w:tc>
          <w:tcPr>
            <w:cnfStyle w:val="000010000000" w:firstRow="0" w:lastRow="0" w:firstColumn="0" w:lastColumn="0" w:oddVBand="1" w:evenVBand="0" w:oddHBand="0" w:evenHBand="0" w:firstRowFirstColumn="0" w:firstRowLastColumn="0" w:lastRowFirstColumn="0" w:lastRowLastColumn="0"/>
            <w:tcW w:w="1260" w:type="dxa"/>
          </w:tcPr>
          <w:p w:rsidR="00B4004F" w:rsidRPr="001E3B34" w:rsidRDefault="00B4004F" w:rsidP="00E11E3C">
            <w:pPr>
              <w:pStyle w:val="TableBody"/>
              <w:jc w:val="center"/>
            </w:pPr>
            <w:r w:rsidRPr="001E3B34">
              <w:t>2,394</w:t>
            </w:r>
          </w:p>
        </w:tc>
        <w:tc>
          <w:tcPr>
            <w:tcW w:w="1429"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64,955</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116,984</w:t>
            </w:r>
          </w:p>
        </w:tc>
        <w:tc>
          <w:tcPr>
            <w:tcW w:w="990"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136,624</w:t>
            </w:r>
          </w:p>
        </w:tc>
        <w:tc>
          <w:tcPr>
            <w:cnfStyle w:val="000010000000" w:firstRow="0" w:lastRow="0" w:firstColumn="0" w:lastColumn="0" w:oddVBand="1" w:evenVBand="0" w:oddHBand="0" w:evenHBand="0" w:firstRowFirstColumn="0" w:firstRowLastColumn="0" w:lastRowFirstColumn="0" w:lastRowLastColumn="0"/>
            <w:tcW w:w="990" w:type="dxa"/>
          </w:tcPr>
          <w:p w:rsidR="00B4004F" w:rsidRPr="001E3B34" w:rsidRDefault="00B4004F" w:rsidP="00E11E3C">
            <w:pPr>
              <w:pStyle w:val="TableBody"/>
              <w:jc w:val="center"/>
            </w:pPr>
            <w:r w:rsidRPr="001E3B34">
              <w:t>209,890</w:t>
            </w:r>
          </w:p>
        </w:tc>
        <w:tc>
          <w:tcPr>
            <w:tcW w:w="1080"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39,727</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52,460</w:t>
            </w:r>
          </w:p>
        </w:tc>
        <w:tc>
          <w:tcPr>
            <w:tcW w:w="1080"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93,580</w:t>
            </w:r>
          </w:p>
        </w:tc>
      </w:tr>
      <w:tr w:rsidR="00B4004F" w:rsidRPr="001E3B34" w:rsidTr="00E1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4004F" w:rsidRPr="001E3B34" w:rsidRDefault="00B4004F" w:rsidP="00E11E3C">
            <w:pPr>
              <w:pStyle w:val="TableBody"/>
              <w:jc w:val="center"/>
            </w:pPr>
            <w:r w:rsidRPr="001E3B34">
              <w:t>18</w:t>
            </w:r>
          </w:p>
        </w:tc>
        <w:tc>
          <w:tcPr>
            <w:cnfStyle w:val="000010000000" w:firstRow="0" w:lastRow="0" w:firstColumn="0" w:lastColumn="0" w:oddVBand="1" w:evenVBand="0" w:oddHBand="0" w:evenHBand="0" w:firstRowFirstColumn="0" w:firstRowLastColumn="0" w:lastRowFirstColumn="0" w:lastRowLastColumn="0"/>
            <w:tcW w:w="1260" w:type="dxa"/>
          </w:tcPr>
          <w:p w:rsidR="00B4004F" w:rsidRPr="001E3B34" w:rsidRDefault="00B4004F" w:rsidP="00E11E3C">
            <w:pPr>
              <w:pStyle w:val="TableBody"/>
              <w:jc w:val="center"/>
            </w:pPr>
            <w:r w:rsidRPr="001E3B34">
              <w:t>2,394</w:t>
            </w:r>
          </w:p>
        </w:tc>
        <w:tc>
          <w:tcPr>
            <w:tcW w:w="1429"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70,716</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117,238</w:t>
            </w:r>
          </w:p>
        </w:tc>
        <w:tc>
          <w:tcPr>
            <w:tcW w:w="990"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139,502</w:t>
            </w:r>
          </w:p>
        </w:tc>
        <w:tc>
          <w:tcPr>
            <w:cnfStyle w:val="000010000000" w:firstRow="0" w:lastRow="0" w:firstColumn="0" w:lastColumn="0" w:oddVBand="1" w:evenVBand="0" w:oddHBand="0" w:evenHBand="0" w:firstRowFirstColumn="0" w:firstRowLastColumn="0" w:lastRowFirstColumn="0" w:lastRowLastColumn="0"/>
            <w:tcW w:w="990" w:type="dxa"/>
          </w:tcPr>
          <w:p w:rsidR="00B4004F" w:rsidRPr="001E3B34" w:rsidRDefault="00B4004F" w:rsidP="00E11E3C">
            <w:pPr>
              <w:pStyle w:val="TableBody"/>
              <w:jc w:val="center"/>
            </w:pPr>
            <w:r w:rsidRPr="001E3B34">
              <w:t>224,146</w:t>
            </w:r>
          </w:p>
        </w:tc>
        <w:tc>
          <w:tcPr>
            <w:tcW w:w="1080"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30,891</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56,784</w:t>
            </w:r>
          </w:p>
        </w:tc>
        <w:tc>
          <w:tcPr>
            <w:tcW w:w="1080" w:type="dxa"/>
          </w:tcPr>
          <w:p w:rsidR="00B4004F" w:rsidRPr="001E3B34" w:rsidRDefault="00B4004F" w:rsidP="00E11E3C">
            <w:pPr>
              <w:pStyle w:val="TableBody"/>
              <w:jc w:val="center"/>
              <w:cnfStyle w:val="000000100000" w:firstRow="0" w:lastRow="0" w:firstColumn="0" w:lastColumn="0" w:oddVBand="0" w:evenVBand="0" w:oddHBand="1" w:evenHBand="0" w:firstRowFirstColumn="0" w:firstRowLastColumn="0" w:lastRowFirstColumn="0" w:lastRowLastColumn="0"/>
            </w:pPr>
            <w:r w:rsidRPr="001E3B34">
              <w:t>105,469</w:t>
            </w:r>
          </w:p>
        </w:tc>
      </w:tr>
      <w:tr w:rsidR="00B4004F" w:rsidRPr="001E3B34" w:rsidTr="00E11E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4004F" w:rsidRPr="001E3B34" w:rsidRDefault="00B4004F" w:rsidP="00E11E3C">
            <w:pPr>
              <w:pStyle w:val="TableBody"/>
              <w:jc w:val="center"/>
            </w:pPr>
            <w:r w:rsidRPr="001E3B34">
              <w:t>19</w:t>
            </w:r>
          </w:p>
        </w:tc>
        <w:tc>
          <w:tcPr>
            <w:cnfStyle w:val="000010000000" w:firstRow="0" w:lastRow="0" w:firstColumn="0" w:lastColumn="0" w:oddVBand="1" w:evenVBand="0" w:oddHBand="0" w:evenHBand="0" w:firstRowFirstColumn="0" w:firstRowLastColumn="0" w:lastRowFirstColumn="0" w:lastRowLastColumn="0"/>
            <w:tcW w:w="1260" w:type="dxa"/>
          </w:tcPr>
          <w:p w:rsidR="00B4004F" w:rsidRPr="001E3B34" w:rsidRDefault="00B4004F" w:rsidP="00E11E3C">
            <w:pPr>
              <w:pStyle w:val="TableBody"/>
              <w:jc w:val="center"/>
            </w:pPr>
            <w:r w:rsidRPr="001E3B34">
              <w:t>2,394</w:t>
            </w:r>
          </w:p>
        </w:tc>
        <w:tc>
          <w:tcPr>
            <w:tcW w:w="1429"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76,766</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117,359</w:t>
            </w:r>
          </w:p>
        </w:tc>
        <w:tc>
          <w:tcPr>
            <w:tcW w:w="990"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142,443</w:t>
            </w:r>
          </w:p>
        </w:tc>
        <w:tc>
          <w:tcPr>
            <w:cnfStyle w:val="000010000000" w:firstRow="0" w:lastRow="0" w:firstColumn="0" w:lastColumn="0" w:oddVBand="1" w:evenVBand="0" w:oddHBand="0" w:evenHBand="0" w:firstRowFirstColumn="0" w:firstRowLastColumn="0" w:lastRowFirstColumn="0" w:lastRowLastColumn="0"/>
            <w:tcW w:w="990" w:type="dxa"/>
          </w:tcPr>
          <w:p w:rsidR="00B4004F" w:rsidRPr="001E3B34" w:rsidRDefault="00B4004F" w:rsidP="00E11E3C">
            <w:pPr>
              <w:pStyle w:val="TableBody"/>
              <w:jc w:val="center"/>
            </w:pPr>
            <w:r w:rsidRPr="001E3B34">
              <w:t>239,654</w:t>
            </w:r>
          </w:p>
        </w:tc>
        <w:tc>
          <w:tcPr>
            <w:tcW w:w="1080"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31,923</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61,230</w:t>
            </w:r>
          </w:p>
        </w:tc>
        <w:tc>
          <w:tcPr>
            <w:tcW w:w="1080" w:type="dxa"/>
          </w:tcPr>
          <w:p w:rsidR="00B4004F" w:rsidRPr="001E3B34" w:rsidRDefault="00B4004F" w:rsidP="00E11E3C">
            <w:pPr>
              <w:pStyle w:val="TableBody"/>
              <w:jc w:val="center"/>
              <w:cnfStyle w:val="000000010000" w:firstRow="0" w:lastRow="0" w:firstColumn="0" w:lastColumn="0" w:oddVBand="0" w:evenVBand="0" w:oddHBand="0" w:evenHBand="1" w:firstRowFirstColumn="0" w:firstRowLastColumn="0" w:lastRowFirstColumn="0" w:lastRowLastColumn="0"/>
            </w:pPr>
            <w:r w:rsidRPr="001E3B34">
              <w:t>118,496</w:t>
            </w:r>
          </w:p>
        </w:tc>
      </w:tr>
      <w:tr w:rsidR="00B4004F" w:rsidRPr="001E3B34" w:rsidTr="00E11E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4004F" w:rsidRPr="001E3B34" w:rsidRDefault="00B4004F" w:rsidP="00E11E3C">
            <w:pPr>
              <w:pStyle w:val="TableBody"/>
              <w:jc w:val="center"/>
            </w:pPr>
            <w:r w:rsidRPr="001E3B34">
              <w:t>20</w:t>
            </w:r>
          </w:p>
        </w:tc>
        <w:tc>
          <w:tcPr>
            <w:cnfStyle w:val="000010000000" w:firstRow="0" w:lastRow="0" w:firstColumn="0" w:lastColumn="0" w:oddVBand="1" w:evenVBand="0" w:oddHBand="0" w:evenHBand="0" w:firstRowFirstColumn="0" w:firstRowLastColumn="0" w:lastRowFirstColumn="0" w:lastRowLastColumn="0"/>
            <w:tcW w:w="1260" w:type="dxa"/>
          </w:tcPr>
          <w:p w:rsidR="00B4004F" w:rsidRPr="001E3B34" w:rsidRDefault="00B4004F" w:rsidP="00E11E3C">
            <w:pPr>
              <w:pStyle w:val="TableBody"/>
              <w:jc w:val="center"/>
            </w:pPr>
            <w:r w:rsidRPr="001E3B34">
              <w:t>2,394</w:t>
            </w:r>
          </w:p>
        </w:tc>
        <w:tc>
          <w:tcPr>
            <w:tcW w:w="1429" w:type="dxa"/>
          </w:tcPr>
          <w:p w:rsidR="00B4004F" w:rsidRPr="001E3B34" w:rsidRDefault="00B4004F" w:rsidP="00E11E3C">
            <w:pPr>
              <w:pStyle w:val="TableBody"/>
              <w:jc w:val="center"/>
              <w:cnfStyle w:val="010000000000" w:firstRow="0" w:lastRow="1" w:firstColumn="0" w:lastColumn="0" w:oddVBand="0" w:evenVBand="0" w:oddHBand="0" w:evenHBand="0" w:firstRowFirstColumn="0" w:firstRowLastColumn="0" w:lastRowFirstColumn="0" w:lastRowLastColumn="0"/>
            </w:pPr>
            <w:r w:rsidRPr="001E3B34">
              <w:t>83,118</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117,334</w:t>
            </w:r>
          </w:p>
        </w:tc>
        <w:tc>
          <w:tcPr>
            <w:tcW w:w="990" w:type="dxa"/>
          </w:tcPr>
          <w:p w:rsidR="00B4004F" w:rsidRPr="001E3B34" w:rsidRDefault="00B4004F" w:rsidP="00E11E3C">
            <w:pPr>
              <w:pStyle w:val="TableBody"/>
              <w:jc w:val="center"/>
              <w:cnfStyle w:val="010000000000" w:firstRow="0" w:lastRow="1" w:firstColumn="0" w:lastColumn="0" w:oddVBand="0" w:evenVBand="0" w:oddHBand="0" w:evenHBand="0" w:firstRowFirstColumn="0" w:firstRowLastColumn="0" w:lastRowFirstColumn="0" w:lastRowLastColumn="0"/>
            </w:pPr>
            <w:r w:rsidRPr="001E3B34">
              <w:t>145,442</w:t>
            </w:r>
          </w:p>
        </w:tc>
        <w:tc>
          <w:tcPr>
            <w:cnfStyle w:val="000010000000" w:firstRow="0" w:lastRow="0" w:firstColumn="0" w:lastColumn="0" w:oddVBand="1" w:evenVBand="0" w:oddHBand="0" w:evenHBand="0" w:firstRowFirstColumn="0" w:firstRowLastColumn="0" w:lastRowFirstColumn="0" w:lastRowLastColumn="0"/>
            <w:tcW w:w="990" w:type="dxa"/>
          </w:tcPr>
          <w:p w:rsidR="00B4004F" w:rsidRPr="001E3B34" w:rsidRDefault="00B4004F" w:rsidP="00E11E3C">
            <w:pPr>
              <w:pStyle w:val="TableBody"/>
              <w:jc w:val="center"/>
            </w:pPr>
            <w:r w:rsidRPr="001E3B34">
              <w:t>256,496</w:t>
            </w:r>
          </w:p>
        </w:tc>
        <w:tc>
          <w:tcPr>
            <w:tcW w:w="1080" w:type="dxa"/>
          </w:tcPr>
          <w:p w:rsidR="00B4004F" w:rsidRPr="001E3B34" w:rsidRDefault="00B4004F" w:rsidP="00E11E3C">
            <w:pPr>
              <w:pStyle w:val="TableBody"/>
              <w:jc w:val="center"/>
              <w:cnfStyle w:val="010000000000" w:firstRow="0" w:lastRow="1" w:firstColumn="0" w:lastColumn="0" w:oddVBand="0" w:evenVBand="0" w:oddHBand="0" w:evenHBand="0" w:firstRowFirstColumn="0" w:firstRowLastColumn="0" w:lastRowFirstColumn="0" w:lastRowLastColumn="0"/>
            </w:pPr>
            <w:r w:rsidRPr="001E3B34">
              <w:t>32,806</w:t>
            </w:r>
          </w:p>
        </w:tc>
        <w:tc>
          <w:tcPr>
            <w:cnfStyle w:val="000010000000" w:firstRow="0" w:lastRow="0" w:firstColumn="0" w:lastColumn="0" w:oddVBand="1" w:evenVBand="0" w:oddHBand="0" w:evenHBand="0" w:firstRowFirstColumn="0" w:firstRowLastColumn="0" w:lastRowFirstColumn="0" w:lastRowLastColumn="0"/>
            <w:tcW w:w="1080" w:type="dxa"/>
          </w:tcPr>
          <w:p w:rsidR="00B4004F" w:rsidRPr="001E3B34" w:rsidRDefault="00B4004F" w:rsidP="00E11E3C">
            <w:pPr>
              <w:pStyle w:val="TableBody"/>
              <w:jc w:val="center"/>
            </w:pPr>
            <w:r w:rsidRPr="001E3B34">
              <w:t>65,790</w:t>
            </w:r>
          </w:p>
        </w:tc>
        <w:tc>
          <w:tcPr>
            <w:tcW w:w="1080" w:type="dxa"/>
          </w:tcPr>
          <w:p w:rsidR="00B4004F" w:rsidRPr="001E3B34" w:rsidRDefault="00B4004F" w:rsidP="00E11E3C">
            <w:pPr>
              <w:pStyle w:val="TableBody"/>
              <w:jc w:val="center"/>
              <w:cnfStyle w:val="010000000000" w:firstRow="0" w:lastRow="1" w:firstColumn="0" w:lastColumn="0" w:oddVBand="0" w:evenVBand="0" w:oddHBand="0" w:evenHBand="0" w:firstRowFirstColumn="0" w:firstRowLastColumn="0" w:lastRowFirstColumn="0" w:lastRowLastColumn="0"/>
            </w:pPr>
            <w:r w:rsidRPr="001E3B34">
              <w:t>132,756</w:t>
            </w:r>
          </w:p>
        </w:tc>
      </w:tr>
    </w:tbl>
    <w:p w:rsidR="005C3786" w:rsidRPr="005A6A74" w:rsidRDefault="00B4004F" w:rsidP="005C3786">
      <w:pPr>
        <w:pStyle w:val="Body"/>
        <w:rPr>
          <w:b/>
        </w:rPr>
      </w:pPr>
      <w:r>
        <w:rPr>
          <w:b/>
        </w:rPr>
        <w:t xml:space="preserve">Figure </w:t>
      </w:r>
      <w:r w:rsidR="005C3786" w:rsidRPr="005A6A74">
        <w:rPr>
          <w:b/>
        </w:rPr>
        <w:t>1</w:t>
      </w:r>
    </w:p>
    <w:tbl>
      <w:tblPr>
        <w:tblStyle w:val="NewStyle2014"/>
        <w:tblW w:w="10087" w:type="dxa"/>
        <w:tblLayout w:type="fixed"/>
        <w:tblLook w:val="01E0" w:firstRow="1" w:lastRow="1" w:firstColumn="1" w:lastColumn="1" w:noHBand="0" w:noVBand="0"/>
      </w:tblPr>
      <w:tblGrid>
        <w:gridCol w:w="1098"/>
        <w:gridCol w:w="1260"/>
        <w:gridCol w:w="1429"/>
        <w:gridCol w:w="1080"/>
        <w:gridCol w:w="990"/>
        <w:gridCol w:w="990"/>
        <w:gridCol w:w="1080"/>
        <w:gridCol w:w="1080"/>
        <w:gridCol w:w="1080"/>
      </w:tblGrid>
      <w:tr w:rsidR="005C3786" w:rsidRPr="001E3B34" w:rsidTr="005C3786">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0087" w:type="dxa"/>
            <w:gridSpan w:val="9"/>
            <w:shd w:val="clear" w:color="auto" w:fill="auto"/>
          </w:tcPr>
          <w:p w:rsidR="005C3786" w:rsidRPr="001E3B34" w:rsidRDefault="005C3786" w:rsidP="001E4057">
            <w:pPr>
              <w:pStyle w:val="TableTitle1"/>
            </w:pPr>
            <w:r w:rsidRPr="001E3B34">
              <w:t>LEDGER STATEMENT FOR VARIABLE LIFE</w:t>
            </w:r>
          </w:p>
        </w:tc>
      </w:tr>
      <w:tr w:rsidR="005C3786" w:rsidRPr="00421B93" w:rsidTr="005C3786">
        <w:trPr>
          <w:cnfStyle w:val="000000100000" w:firstRow="0" w:lastRow="0" w:firstColumn="0" w:lastColumn="0" w:oddVBand="0" w:evenVBand="0" w:oddHBand="1" w:evenHBand="0" w:firstRowFirstColumn="0" w:firstRowLastColumn="0" w:lastRowFirstColumn="0" w:lastRowLastColumn="0"/>
          <w:trHeight w:val="1923"/>
        </w:trPr>
        <w:tc>
          <w:tcPr>
            <w:cnfStyle w:val="001000000000" w:firstRow="0" w:lastRow="0" w:firstColumn="1" w:lastColumn="0" w:oddVBand="0" w:evenVBand="0" w:oddHBand="0" w:evenHBand="0" w:firstRowFirstColumn="0" w:firstRowLastColumn="0" w:lastRowFirstColumn="0" w:lastRowLastColumn="0"/>
            <w:tcW w:w="10087" w:type="dxa"/>
            <w:gridSpan w:val="9"/>
            <w:shd w:val="clear" w:color="auto" w:fill="344373"/>
          </w:tcPr>
          <w:p w:rsidR="005C3786" w:rsidRPr="00421B93" w:rsidRDefault="005C3786" w:rsidP="001E4057">
            <w:pPr>
              <w:pStyle w:val="TableHead1"/>
              <w:jc w:val="left"/>
            </w:pPr>
            <w:r w:rsidRPr="001E3B34">
              <w:t>$100,000 Variable Whole Life Plan</w:t>
            </w:r>
            <w:r>
              <w:t xml:space="preserve"> </w:t>
            </w:r>
            <w:r w:rsidRPr="001E3B34">
              <w:rPr>
                <w:b/>
              </w:rPr>
              <w:t>1</w:t>
            </w:r>
          </w:p>
          <w:p w:rsidR="005C3786" w:rsidRPr="00421B93" w:rsidRDefault="005C3786" w:rsidP="001E4057">
            <w:pPr>
              <w:pStyle w:val="TableHead1"/>
              <w:jc w:val="left"/>
            </w:pPr>
            <w:r w:rsidRPr="001E3B34">
              <w:t>For Age 45 Male</w:t>
            </w:r>
            <w:r>
              <w:t xml:space="preserve"> </w:t>
            </w:r>
            <w:r w:rsidRPr="001E3B34">
              <w:rPr>
                <w:b/>
              </w:rPr>
              <w:t>2</w:t>
            </w:r>
          </w:p>
          <w:p w:rsidR="005C3786" w:rsidRPr="00421B93" w:rsidRDefault="005C3786" w:rsidP="001E4057">
            <w:pPr>
              <w:pStyle w:val="TableHead1"/>
              <w:jc w:val="left"/>
            </w:pPr>
            <w:r w:rsidRPr="001E3B34">
              <w:t>Annual Premium $2,394</w:t>
            </w:r>
            <w:r>
              <w:t xml:space="preserve"> </w:t>
            </w:r>
            <w:r w:rsidRPr="001E3B34">
              <w:rPr>
                <w:b/>
              </w:rPr>
              <w:t>3</w:t>
            </w:r>
          </w:p>
          <w:p w:rsidR="005C3786" w:rsidRPr="00421B93" w:rsidRDefault="005C3786" w:rsidP="001E4057">
            <w:pPr>
              <w:pStyle w:val="TableHead1"/>
            </w:pPr>
            <w:r w:rsidRPr="001E3B34">
              <w:t>4</w:t>
            </w:r>
          </w:p>
          <w:p w:rsidR="005C3786" w:rsidRPr="00421B93" w:rsidRDefault="005C3786" w:rsidP="001E4057">
            <w:pPr>
              <w:pStyle w:val="TableHead1"/>
            </w:pPr>
            <w:r w:rsidRPr="001E3B34">
              <w:t>Dividends Used to Purchase Paid-up Additions</w:t>
            </w:r>
          </w:p>
        </w:tc>
      </w:tr>
      <w:tr w:rsidR="005C3786" w:rsidRPr="005A6A74" w:rsidTr="005C3786">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098" w:type="dxa"/>
          </w:tcPr>
          <w:p w:rsidR="005C3786" w:rsidRPr="005A6A74" w:rsidRDefault="005C3786" w:rsidP="005C3786">
            <w:pPr>
              <w:pStyle w:val="TableHead2"/>
              <w:rPr>
                <w:b/>
                <w:color w:val="auto"/>
              </w:rPr>
            </w:pPr>
            <w:r w:rsidRPr="005A6A74">
              <w:rPr>
                <w:b/>
                <w:color w:val="auto"/>
              </w:rPr>
              <w:t>5</w:t>
            </w:r>
          </w:p>
        </w:tc>
        <w:tc>
          <w:tcPr>
            <w:cnfStyle w:val="000010000000" w:firstRow="0" w:lastRow="0" w:firstColumn="0" w:lastColumn="0" w:oddVBand="1" w:evenVBand="0" w:oddHBand="0" w:evenHBand="0" w:firstRowFirstColumn="0" w:firstRowLastColumn="0" w:lastRowFirstColumn="0" w:lastRowLastColumn="0"/>
            <w:tcW w:w="1260" w:type="dxa"/>
          </w:tcPr>
          <w:p w:rsidR="005C3786" w:rsidRPr="005A6A74" w:rsidRDefault="005C3786" w:rsidP="005C3786">
            <w:pPr>
              <w:pStyle w:val="TableHead2"/>
              <w:rPr>
                <w:b/>
                <w:color w:val="auto"/>
              </w:rPr>
            </w:pPr>
            <w:r w:rsidRPr="005A6A74">
              <w:rPr>
                <w:b/>
                <w:color w:val="auto"/>
              </w:rPr>
              <w:t>6</w:t>
            </w:r>
          </w:p>
        </w:tc>
        <w:tc>
          <w:tcPr>
            <w:tcW w:w="1429" w:type="dxa"/>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7</w:t>
            </w:r>
          </w:p>
        </w:tc>
        <w:tc>
          <w:tcPr>
            <w:cnfStyle w:val="000010000000" w:firstRow="0" w:lastRow="0" w:firstColumn="0" w:lastColumn="0" w:oddVBand="1" w:evenVBand="0" w:oddHBand="0" w:evenHBand="0" w:firstRowFirstColumn="0" w:firstRowLastColumn="0" w:lastRowFirstColumn="0" w:lastRowLastColumn="0"/>
            <w:tcW w:w="1080" w:type="dxa"/>
          </w:tcPr>
          <w:p w:rsidR="005C3786" w:rsidRPr="005A6A74" w:rsidRDefault="005C3786" w:rsidP="001E4057">
            <w:pPr>
              <w:pStyle w:val="TableHead2"/>
              <w:rPr>
                <w:b/>
                <w:color w:val="auto"/>
              </w:rPr>
            </w:pPr>
            <w:r w:rsidRPr="005A6A74">
              <w:rPr>
                <w:b/>
                <w:color w:val="auto"/>
              </w:rPr>
              <w:t>8</w:t>
            </w:r>
          </w:p>
        </w:tc>
        <w:tc>
          <w:tcPr>
            <w:tcW w:w="990" w:type="dxa"/>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9</w:t>
            </w:r>
          </w:p>
        </w:tc>
        <w:tc>
          <w:tcPr>
            <w:cnfStyle w:val="000010000000" w:firstRow="0" w:lastRow="0" w:firstColumn="0" w:lastColumn="0" w:oddVBand="1" w:evenVBand="0" w:oddHBand="0" w:evenHBand="0" w:firstRowFirstColumn="0" w:firstRowLastColumn="0" w:lastRowFirstColumn="0" w:lastRowLastColumn="0"/>
            <w:tcW w:w="990" w:type="dxa"/>
          </w:tcPr>
          <w:p w:rsidR="005C3786" w:rsidRPr="005A6A74" w:rsidRDefault="005C3786" w:rsidP="001E4057">
            <w:pPr>
              <w:pStyle w:val="TableHead2"/>
              <w:rPr>
                <w:b/>
                <w:color w:val="auto"/>
              </w:rPr>
            </w:pPr>
            <w:r w:rsidRPr="005A6A74">
              <w:rPr>
                <w:b/>
                <w:color w:val="auto"/>
              </w:rPr>
              <w:t>10</w:t>
            </w:r>
          </w:p>
        </w:tc>
        <w:tc>
          <w:tcPr>
            <w:tcW w:w="1080" w:type="dxa"/>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11</w:t>
            </w:r>
          </w:p>
        </w:tc>
        <w:tc>
          <w:tcPr>
            <w:cnfStyle w:val="000010000000" w:firstRow="0" w:lastRow="0" w:firstColumn="0" w:lastColumn="0" w:oddVBand="1" w:evenVBand="0" w:oddHBand="0" w:evenHBand="0" w:firstRowFirstColumn="0" w:firstRowLastColumn="0" w:lastRowFirstColumn="0" w:lastRowLastColumn="0"/>
            <w:tcW w:w="1080" w:type="dxa"/>
          </w:tcPr>
          <w:p w:rsidR="005C3786" w:rsidRPr="005A6A74" w:rsidRDefault="005C3786" w:rsidP="005C3786">
            <w:pPr>
              <w:pStyle w:val="TableHead2"/>
              <w:rPr>
                <w:b/>
                <w:color w:val="auto"/>
              </w:rPr>
            </w:pPr>
            <w:r w:rsidRPr="005A6A74">
              <w:rPr>
                <w:b/>
                <w:color w:val="auto"/>
              </w:rPr>
              <w:t>12</w:t>
            </w:r>
          </w:p>
        </w:tc>
        <w:tc>
          <w:tcPr>
            <w:tcW w:w="1080" w:type="dxa"/>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13</w:t>
            </w:r>
          </w:p>
        </w:tc>
      </w:tr>
      <w:tr w:rsidR="005C3786" w:rsidRPr="005A6A74" w:rsidTr="005C3786">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98" w:type="dxa"/>
            <w:vMerge w:val="restart"/>
            <w:shd w:val="clear" w:color="auto" w:fill="D9D9D9" w:themeFill="background1" w:themeFillShade="D9"/>
          </w:tcPr>
          <w:p w:rsidR="005C3786" w:rsidRPr="005A6A74" w:rsidRDefault="005C3786" w:rsidP="005C3786">
            <w:pPr>
              <w:pStyle w:val="TableHead2"/>
              <w:rPr>
                <w:b/>
                <w:color w:val="auto"/>
              </w:rPr>
            </w:pPr>
            <w:r w:rsidRPr="005A6A74">
              <w:rPr>
                <w:b/>
                <w:color w:val="auto"/>
              </w:rPr>
              <w:t>End of Year</w:t>
            </w:r>
          </w:p>
        </w:tc>
        <w:tc>
          <w:tcPr>
            <w:cnfStyle w:val="000010000000" w:firstRow="0" w:lastRow="0" w:firstColumn="0" w:lastColumn="0" w:oddVBand="1" w:evenVBand="0" w:oddHBand="0" w:evenHBand="0" w:firstRowFirstColumn="0" w:firstRowLastColumn="0" w:lastRowFirstColumn="0" w:lastRowLastColumn="0"/>
            <w:tcW w:w="1260" w:type="dxa"/>
            <w:vMerge w:val="restart"/>
            <w:shd w:val="clear" w:color="auto" w:fill="D9D9D9" w:themeFill="background1" w:themeFillShade="D9"/>
          </w:tcPr>
          <w:p w:rsidR="005C3786" w:rsidRPr="005A6A74" w:rsidRDefault="005C3786" w:rsidP="001E4057">
            <w:pPr>
              <w:pStyle w:val="TableHead2"/>
              <w:rPr>
                <w:b/>
                <w:color w:val="auto"/>
              </w:rPr>
            </w:pPr>
            <w:r w:rsidRPr="005A6A74">
              <w:rPr>
                <w:b/>
                <w:color w:val="auto"/>
              </w:rPr>
              <w:t>Annual Premium</w:t>
            </w:r>
          </w:p>
        </w:tc>
        <w:tc>
          <w:tcPr>
            <w:tcW w:w="1429" w:type="dxa"/>
            <w:vMerge w:val="restart"/>
            <w:shd w:val="clear" w:color="auto" w:fill="D9D9D9" w:themeFill="background1" w:themeFillShade="D9"/>
          </w:tcPr>
          <w:p w:rsidR="005C3786" w:rsidRPr="005A6A74" w:rsidRDefault="005C3786" w:rsidP="001E4057">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5A6A74">
              <w:rPr>
                <w:b/>
                <w:color w:val="auto"/>
              </w:rPr>
              <w:t>Premiums Accumulated at 5%</w:t>
            </w:r>
          </w:p>
        </w:tc>
        <w:tc>
          <w:tcPr>
            <w:cnfStyle w:val="000010000000" w:firstRow="0" w:lastRow="0" w:firstColumn="0" w:lastColumn="0" w:oddVBand="1" w:evenVBand="0" w:oddHBand="0" w:evenHBand="0" w:firstRowFirstColumn="0" w:firstRowLastColumn="0" w:lastRowFirstColumn="0" w:lastRowLastColumn="0"/>
            <w:tcW w:w="3060" w:type="dxa"/>
            <w:gridSpan w:val="3"/>
            <w:shd w:val="clear" w:color="auto" w:fill="D9D9D9" w:themeFill="background1" w:themeFillShade="D9"/>
          </w:tcPr>
          <w:p w:rsidR="005C3786" w:rsidRPr="005A6A74" w:rsidRDefault="005C3786" w:rsidP="001E4057">
            <w:pPr>
              <w:pStyle w:val="TableHead2"/>
              <w:rPr>
                <w:b/>
                <w:color w:val="auto"/>
              </w:rPr>
            </w:pPr>
            <w:r w:rsidRPr="005A6A74">
              <w:rPr>
                <w:b/>
                <w:color w:val="auto"/>
              </w:rPr>
              <w:t>Death Benefit*</w:t>
            </w:r>
            <w:r w:rsidRPr="005A6A74">
              <w:rPr>
                <w:b/>
                <w:color w:val="auto"/>
              </w:rPr>
              <w:br/>
              <w:t>Assumed Investment Returns</w:t>
            </w:r>
          </w:p>
        </w:tc>
        <w:tc>
          <w:tcPr>
            <w:tcW w:w="3240" w:type="dxa"/>
            <w:gridSpan w:val="3"/>
            <w:shd w:val="clear" w:color="auto" w:fill="D9D9D9" w:themeFill="background1" w:themeFillShade="D9"/>
          </w:tcPr>
          <w:p w:rsidR="005C3786" w:rsidRPr="005A6A74" w:rsidRDefault="005C3786" w:rsidP="001E4057">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5A6A74">
              <w:rPr>
                <w:b/>
                <w:color w:val="auto"/>
              </w:rPr>
              <w:t>Cash Value*</w:t>
            </w:r>
            <w:r w:rsidRPr="005A6A74">
              <w:rPr>
                <w:b/>
                <w:color w:val="auto"/>
              </w:rPr>
              <w:br/>
              <w:t>Assumed Investment Returns</w:t>
            </w:r>
          </w:p>
        </w:tc>
      </w:tr>
      <w:tr w:rsidR="005C3786" w:rsidRPr="005A6A74" w:rsidTr="005C378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098" w:type="dxa"/>
            <w:vMerge/>
          </w:tcPr>
          <w:p w:rsidR="005C3786" w:rsidRPr="005A6A74" w:rsidRDefault="005C3786" w:rsidP="001E4057">
            <w:pPr>
              <w:pStyle w:val="TableHead2"/>
              <w:rPr>
                <w:b/>
                <w:color w:val="auto"/>
              </w:rPr>
            </w:pPr>
          </w:p>
        </w:tc>
        <w:tc>
          <w:tcPr>
            <w:cnfStyle w:val="000010000000" w:firstRow="0" w:lastRow="0" w:firstColumn="0" w:lastColumn="0" w:oddVBand="1" w:evenVBand="0" w:oddHBand="0" w:evenHBand="0" w:firstRowFirstColumn="0" w:firstRowLastColumn="0" w:lastRowFirstColumn="0" w:lastRowLastColumn="0"/>
            <w:tcW w:w="1260" w:type="dxa"/>
            <w:vMerge/>
          </w:tcPr>
          <w:p w:rsidR="005C3786" w:rsidRPr="005A6A74" w:rsidRDefault="005C3786" w:rsidP="001E4057">
            <w:pPr>
              <w:pStyle w:val="TableHead2"/>
              <w:rPr>
                <w:b/>
                <w:color w:val="auto"/>
              </w:rPr>
            </w:pPr>
          </w:p>
        </w:tc>
        <w:tc>
          <w:tcPr>
            <w:tcW w:w="1429" w:type="dxa"/>
            <w:vMerge/>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p>
        </w:tc>
        <w:tc>
          <w:tcPr>
            <w:cnfStyle w:val="000010000000" w:firstRow="0" w:lastRow="0" w:firstColumn="0" w:lastColumn="0" w:oddVBand="1" w:evenVBand="0" w:oddHBand="0" w:evenHBand="0" w:firstRowFirstColumn="0" w:firstRowLastColumn="0" w:lastRowFirstColumn="0" w:lastRowLastColumn="0"/>
            <w:tcW w:w="1080" w:type="dxa"/>
          </w:tcPr>
          <w:p w:rsidR="005C3786" w:rsidRPr="005A6A74" w:rsidRDefault="005C3786" w:rsidP="001E4057">
            <w:pPr>
              <w:pStyle w:val="TableHead2"/>
              <w:rPr>
                <w:b/>
                <w:color w:val="auto"/>
              </w:rPr>
            </w:pPr>
            <w:r w:rsidRPr="005A6A74">
              <w:rPr>
                <w:b/>
                <w:color w:val="auto"/>
              </w:rPr>
              <w:t>0%</w:t>
            </w:r>
          </w:p>
        </w:tc>
        <w:tc>
          <w:tcPr>
            <w:tcW w:w="990" w:type="dxa"/>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6%</w:t>
            </w:r>
          </w:p>
        </w:tc>
        <w:tc>
          <w:tcPr>
            <w:cnfStyle w:val="000010000000" w:firstRow="0" w:lastRow="0" w:firstColumn="0" w:lastColumn="0" w:oddVBand="1" w:evenVBand="0" w:oddHBand="0" w:evenHBand="0" w:firstRowFirstColumn="0" w:firstRowLastColumn="0" w:lastRowFirstColumn="0" w:lastRowLastColumn="0"/>
            <w:tcW w:w="990" w:type="dxa"/>
          </w:tcPr>
          <w:p w:rsidR="005C3786" w:rsidRPr="005A6A74" w:rsidRDefault="005C3786" w:rsidP="001E4057">
            <w:pPr>
              <w:pStyle w:val="TableHead2"/>
              <w:rPr>
                <w:b/>
                <w:color w:val="auto"/>
              </w:rPr>
            </w:pPr>
            <w:r w:rsidRPr="005A6A74">
              <w:rPr>
                <w:b/>
                <w:color w:val="auto"/>
              </w:rPr>
              <w:t>12%</w:t>
            </w:r>
          </w:p>
        </w:tc>
        <w:tc>
          <w:tcPr>
            <w:tcW w:w="1080" w:type="dxa"/>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0%</w:t>
            </w:r>
          </w:p>
        </w:tc>
        <w:tc>
          <w:tcPr>
            <w:cnfStyle w:val="000010000000" w:firstRow="0" w:lastRow="0" w:firstColumn="0" w:lastColumn="0" w:oddVBand="1" w:evenVBand="0" w:oddHBand="0" w:evenHBand="0" w:firstRowFirstColumn="0" w:firstRowLastColumn="0" w:lastRowFirstColumn="0" w:lastRowLastColumn="0"/>
            <w:tcW w:w="1080" w:type="dxa"/>
          </w:tcPr>
          <w:p w:rsidR="005C3786" w:rsidRPr="005A6A74" w:rsidRDefault="005C3786" w:rsidP="001E4057">
            <w:pPr>
              <w:pStyle w:val="TableHead2"/>
              <w:rPr>
                <w:b/>
                <w:color w:val="auto"/>
              </w:rPr>
            </w:pPr>
            <w:r w:rsidRPr="005A6A74">
              <w:rPr>
                <w:b/>
                <w:color w:val="auto"/>
              </w:rPr>
              <w:t>6%</w:t>
            </w:r>
          </w:p>
        </w:tc>
        <w:tc>
          <w:tcPr>
            <w:tcW w:w="1080" w:type="dxa"/>
          </w:tcPr>
          <w:p w:rsidR="005C3786" w:rsidRPr="005A6A74" w:rsidRDefault="005C3786" w:rsidP="001E4057">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5A6A74">
              <w:rPr>
                <w:b/>
                <w:color w:val="auto"/>
              </w:rPr>
              <w:t>12%</w:t>
            </w:r>
          </w:p>
        </w:tc>
      </w:tr>
      <w:tr w:rsidR="005C3786"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60@</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54,242</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116,104</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131,052</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184,800</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27,055</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44,192</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72,874</w:t>
            </w:r>
          </w:p>
        </w:tc>
      </w:tr>
      <w:tr w:rsidR="005C3786"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65@</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83,118</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117,334</w:t>
            </w:r>
          </w:p>
        </w:tc>
        <w:tc>
          <w:tcPr>
            <w:tcW w:w="99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145,442</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256,496</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32,806</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65,790</w:t>
            </w:r>
          </w:p>
        </w:tc>
        <w:tc>
          <w:tcPr>
            <w:tcW w:w="1080" w:type="dxa"/>
          </w:tcPr>
          <w:p w:rsidR="00CD44A4" w:rsidRPr="001E3B34" w:rsidRDefault="00CD44A4" w:rsidP="005A6A74">
            <w:pPr>
              <w:pStyle w:val="TableBody"/>
              <w:jc w:val="center"/>
              <w:cnfStyle w:val="000000010000" w:firstRow="0" w:lastRow="0" w:firstColumn="0" w:lastColumn="0" w:oddVBand="0" w:evenVBand="0" w:oddHBand="0" w:evenHBand="1" w:firstRowFirstColumn="0" w:firstRowLastColumn="0" w:lastRowFirstColumn="0" w:lastRowLastColumn="0"/>
            </w:pPr>
            <w:r w:rsidRPr="001E3B34">
              <w:t>132,756</w:t>
            </w:r>
          </w:p>
        </w:tc>
      </w:tr>
      <w:tr w:rsidR="005C3786"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1E3B34" w:rsidRDefault="00CD44A4" w:rsidP="005A6A74">
            <w:pPr>
              <w:pStyle w:val="TableBody"/>
              <w:jc w:val="center"/>
            </w:pPr>
            <w:r w:rsidRPr="001E3B34">
              <w:t>75@</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5A6A74">
            <w:pPr>
              <w:pStyle w:val="TableBody"/>
              <w:jc w:val="center"/>
            </w:pPr>
            <w:r w:rsidRPr="001E3B34">
              <w:t>2,394</w:t>
            </w:r>
          </w:p>
        </w:tc>
        <w:tc>
          <w:tcPr>
            <w:tcW w:w="1429"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167,007</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112,535</w:t>
            </w:r>
          </w:p>
        </w:tc>
        <w:tc>
          <w:tcPr>
            <w:tcW w:w="99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180,166</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jc w:val="center"/>
            </w:pPr>
            <w:r w:rsidRPr="001E3B34">
              <w:t>527,026</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34,997</w:t>
            </w: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TableBody"/>
              <w:jc w:val="center"/>
            </w:pPr>
            <w:r w:rsidRPr="001E3B34">
              <w:t>118,565</w:t>
            </w:r>
          </w:p>
        </w:tc>
        <w:tc>
          <w:tcPr>
            <w:tcW w:w="1080" w:type="dxa"/>
          </w:tcPr>
          <w:p w:rsidR="00CD44A4" w:rsidRPr="001E3B34" w:rsidRDefault="00CD44A4" w:rsidP="005A6A74">
            <w:pPr>
              <w:pStyle w:val="TableBody"/>
              <w:jc w:val="center"/>
              <w:cnfStyle w:val="000000100000" w:firstRow="0" w:lastRow="0" w:firstColumn="0" w:lastColumn="0" w:oddVBand="0" w:evenVBand="0" w:oddHBand="1" w:evenHBand="0" w:firstRowFirstColumn="0" w:firstRowLastColumn="0" w:lastRowFirstColumn="0" w:lastRowLastColumn="0"/>
            </w:pPr>
            <w:r w:rsidRPr="001E3B34">
              <w:t>74,646</w:t>
            </w:r>
          </w:p>
        </w:tc>
      </w:tr>
      <w:tr w:rsidR="005C3786"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5C3786" w:rsidRDefault="00CD44A4" w:rsidP="005A6A74">
            <w:pPr>
              <w:pStyle w:val="TableBody"/>
              <w:jc w:val="center"/>
              <w:rPr>
                <w:b/>
              </w:rPr>
            </w:pPr>
            <w:r w:rsidRPr="005C3786">
              <w:rPr>
                <w:b/>
              </w:rPr>
              <w:t>14</w:t>
            </w:r>
          </w:p>
        </w:tc>
        <w:tc>
          <w:tcPr>
            <w:cnfStyle w:val="000010000000" w:firstRow="0" w:lastRow="0" w:firstColumn="0" w:lastColumn="0" w:oddVBand="1" w:evenVBand="0" w:oddHBand="0" w:evenHBand="0" w:firstRowFirstColumn="0" w:firstRowLastColumn="0" w:lastRowFirstColumn="0" w:lastRowLastColumn="0"/>
            <w:tcW w:w="3769" w:type="dxa"/>
            <w:gridSpan w:val="3"/>
          </w:tcPr>
          <w:p w:rsidR="00CD44A4" w:rsidRPr="001E3B34" w:rsidRDefault="00CD44A4" w:rsidP="005A6A74">
            <w:pPr>
              <w:pStyle w:val="TableBody"/>
            </w:pPr>
            <w:r w:rsidRPr="001E3B34">
              <w:t>Insurance Premiums</w:t>
            </w:r>
          </w:p>
        </w:tc>
        <w:tc>
          <w:tcPr>
            <w:tcW w:w="990" w:type="dxa"/>
          </w:tcPr>
          <w:p w:rsidR="00CD44A4" w:rsidRPr="001E3B34" w:rsidRDefault="00CD44A4" w:rsidP="005A6A74">
            <w:pPr>
              <w:pStyle w:val="TableBody"/>
              <w:cnfStyle w:val="000000010000" w:firstRow="0" w:lastRow="0" w:firstColumn="0" w:lastColumn="0" w:oddVBand="0" w:evenVBand="0" w:oddHBand="0" w:evenHBand="1" w:firstRowFirstColumn="0" w:firstRowLastColumn="0" w:lastRowFirstColumn="0" w:lastRowLastColumn="0"/>
            </w:pPr>
            <w:r w:rsidRPr="001E3B34">
              <w:t>Annual</w:t>
            </w:r>
          </w:p>
        </w:tc>
        <w:tc>
          <w:tcPr>
            <w:cnfStyle w:val="000010000000" w:firstRow="0" w:lastRow="0" w:firstColumn="0" w:lastColumn="0" w:oddVBand="1" w:evenVBand="0" w:oddHBand="0" w:evenHBand="0" w:firstRowFirstColumn="0" w:firstRowLastColumn="0" w:lastRowFirstColumn="0" w:lastRowLastColumn="0"/>
            <w:tcW w:w="990" w:type="dxa"/>
          </w:tcPr>
          <w:p w:rsidR="00CD44A4" w:rsidRPr="001E3B34" w:rsidRDefault="00CD44A4" w:rsidP="005A6A74">
            <w:pPr>
              <w:pStyle w:val="TableBody"/>
            </w:pPr>
            <w:smartTag w:uri="urn:schemas-microsoft-com:office:smarttags" w:element="place">
              <w:smartTag w:uri="urn:schemas-microsoft-com:office:smarttags" w:element="State">
                <w:r w:rsidRPr="001E3B34">
                  <w:t>Mo.</w:t>
                </w:r>
              </w:smartTag>
            </w:smartTag>
            <w:r w:rsidRPr="001E3B34">
              <w:t xml:space="preserve"> ISA</w:t>
            </w:r>
          </w:p>
        </w:tc>
        <w:tc>
          <w:tcPr>
            <w:tcW w:w="1080" w:type="dxa"/>
          </w:tcPr>
          <w:p w:rsidR="00CD44A4" w:rsidRPr="001E3B34" w:rsidRDefault="00CD44A4" w:rsidP="005A6A74">
            <w:pPr>
              <w:pStyle w:val="PlainText"/>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080" w:type="dxa"/>
          </w:tcPr>
          <w:p w:rsidR="00CD44A4" w:rsidRPr="001E3B34" w:rsidRDefault="00CD44A4" w:rsidP="005A6A74">
            <w:pPr>
              <w:pStyle w:val="PlainText"/>
              <w:spacing w:before="0" w:after="0"/>
              <w:rPr>
                <w:rFonts w:ascii="Times New Roman" w:hAnsi="Times New Roman"/>
              </w:rPr>
            </w:pPr>
          </w:p>
        </w:tc>
        <w:tc>
          <w:tcPr>
            <w:tcW w:w="1080" w:type="dxa"/>
          </w:tcPr>
          <w:p w:rsidR="00CD44A4" w:rsidRPr="001E3B34" w:rsidRDefault="00CD44A4" w:rsidP="005A6A74">
            <w:pPr>
              <w:pStyle w:val="PlainText"/>
              <w:spacing w:before="0" w:after="0"/>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CD44A4"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D9D9D9" w:themeFill="background1" w:themeFillShade="D9"/>
          </w:tcPr>
          <w:p w:rsidR="00CD44A4" w:rsidRPr="001E3B34" w:rsidRDefault="00CD44A4" w:rsidP="005C3786">
            <w:pPr>
              <w:pStyle w:val="PlainText"/>
              <w:spacing w:before="0" w:after="0"/>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769" w:type="dxa"/>
            <w:gridSpan w:val="3"/>
            <w:shd w:val="clear" w:color="auto" w:fill="D9D9D9" w:themeFill="background1" w:themeFillShade="D9"/>
          </w:tcPr>
          <w:p w:rsidR="00CD44A4" w:rsidRPr="001E3B34" w:rsidRDefault="00CD44A4" w:rsidP="005A6A74">
            <w:pPr>
              <w:pStyle w:val="PlainText"/>
              <w:spacing w:before="0" w:after="0"/>
              <w:rPr>
                <w:rFonts w:ascii="Times New Roman" w:hAnsi="Times New Roman"/>
              </w:rPr>
            </w:pPr>
          </w:p>
        </w:tc>
        <w:tc>
          <w:tcPr>
            <w:tcW w:w="990" w:type="dxa"/>
            <w:shd w:val="clear" w:color="auto" w:fill="D9D9D9" w:themeFill="background1" w:themeFillShade="D9"/>
          </w:tcPr>
          <w:p w:rsidR="00CD44A4" w:rsidRPr="001E3B34" w:rsidRDefault="00CD44A4" w:rsidP="005A6A74">
            <w:pPr>
              <w:pStyle w:val="TableBody"/>
              <w:cnfStyle w:val="000000100000" w:firstRow="0" w:lastRow="0" w:firstColumn="0" w:lastColumn="0" w:oddVBand="0" w:evenVBand="0" w:oddHBand="1" w:evenHBand="0" w:firstRowFirstColumn="0" w:firstRowLastColumn="0" w:lastRowFirstColumn="0" w:lastRowLastColumn="0"/>
            </w:pPr>
            <w:r w:rsidRPr="001E3B34">
              <w:t>2,394.00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rsidR="00CD44A4" w:rsidRPr="001E3B34" w:rsidRDefault="00CD44A4" w:rsidP="005A6A74">
            <w:pPr>
              <w:pStyle w:val="TableBody"/>
            </w:pPr>
            <w:r w:rsidRPr="001E3B34">
              <w:t>211.10</w:t>
            </w:r>
          </w:p>
        </w:tc>
        <w:tc>
          <w:tcPr>
            <w:tcW w:w="1080" w:type="dxa"/>
            <w:shd w:val="clear" w:color="auto" w:fill="D9D9D9" w:themeFill="background1" w:themeFillShade="D9"/>
          </w:tcPr>
          <w:p w:rsidR="00CD44A4" w:rsidRPr="001E3B34" w:rsidRDefault="00CD44A4" w:rsidP="005A6A74">
            <w:pPr>
              <w:pStyle w:val="PlainTex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rsidR="00CD44A4" w:rsidRPr="001E3B34" w:rsidRDefault="00CD44A4" w:rsidP="005A6A74">
            <w:pPr>
              <w:pStyle w:val="PlainText"/>
              <w:spacing w:before="0" w:after="0"/>
              <w:rPr>
                <w:rFonts w:ascii="Times New Roman" w:hAnsi="Times New Roman"/>
              </w:rPr>
            </w:pPr>
          </w:p>
        </w:tc>
        <w:tc>
          <w:tcPr>
            <w:tcW w:w="1080" w:type="dxa"/>
            <w:shd w:val="clear" w:color="auto" w:fill="D9D9D9" w:themeFill="background1" w:themeFillShade="D9"/>
          </w:tcPr>
          <w:p w:rsidR="00CD44A4" w:rsidRPr="001E3B34" w:rsidRDefault="00CD44A4" w:rsidP="005A6A74">
            <w:pPr>
              <w:pStyle w:val="PlainText"/>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CD44A4" w:rsidRPr="00421B93" w:rsidTr="005C3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421B93" w:rsidRDefault="00CD44A4" w:rsidP="005C3786">
            <w:pPr>
              <w:pStyle w:val="PlainText"/>
              <w:spacing w:before="0" w:after="0"/>
              <w:jc w:val="center"/>
            </w:pPr>
          </w:p>
        </w:tc>
        <w:tc>
          <w:tcPr>
            <w:cnfStyle w:val="000010000000" w:firstRow="0" w:lastRow="0" w:firstColumn="0" w:lastColumn="0" w:oddVBand="1" w:evenVBand="0" w:oddHBand="0" w:evenHBand="0" w:firstRowFirstColumn="0" w:firstRowLastColumn="0" w:lastRowFirstColumn="0" w:lastRowLastColumn="0"/>
            <w:tcW w:w="3769" w:type="dxa"/>
            <w:gridSpan w:val="3"/>
          </w:tcPr>
          <w:p w:rsidR="00CD44A4" w:rsidRPr="00421B93" w:rsidRDefault="00CD44A4" w:rsidP="005A6A74">
            <w:pPr>
              <w:pStyle w:val="TableBody"/>
            </w:pPr>
            <w:r w:rsidRPr="001E3B34">
              <w:t>Subject to Underwriting Limits</w:t>
            </w:r>
            <w:r>
              <w:t xml:space="preserve"> </w:t>
            </w:r>
            <w:r w:rsidRPr="001E3B34">
              <w:rPr>
                <w:b/>
              </w:rPr>
              <w:t>15</w:t>
            </w:r>
          </w:p>
        </w:tc>
        <w:tc>
          <w:tcPr>
            <w:tcW w:w="990" w:type="dxa"/>
          </w:tcPr>
          <w:p w:rsidR="00CD44A4" w:rsidRPr="00421B93" w:rsidRDefault="00CD44A4" w:rsidP="005A6A74">
            <w:pPr>
              <w:pStyle w:val="PlainText"/>
              <w:spacing w:before="0" w:after="0"/>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0" w:type="dxa"/>
          </w:tcPr>
          <w:p w:rsidR="00CD44A4" w:rsidRPr="00421B93" w:rsidRDefault="00CD44A4" w:rsidP="005A6A74">
            <w:pPr>
              <w:pStyle w:val="PlainText"/>
              <w:spacing w:before="0" w:after="0"/>
            </w:pPr>
          </w:p>
        </w:tc>
        <w:tc>
          <w:tcPr>
            <w:tcW w:w="1080" w:type="dxa"/>
          </w:tcPr>
          <w:p w:rsidR="00CD44A4" w:rsidRPr="00421B93" w:rsidRDefault="00CD44A4" w:rsidP="005A6A74">
            <w:pPr>
              <w:pStyle w:val="PlainText"/>
              <w:spacing w:before="0" w:after="0"/>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tcPr>
          <w:p w:rsidR="00CD44A4" w:rsidRPr="00421B93" w:rsidRDefault="00CD44A4" w:rsidP="005A6A74">
            <w:pPr>
              <w:pStyle w:val="PlainText"/>
              <w:spacing w:before="0" w:after="0"/>
            </w:pPr>
          </w:p>
        </w:tc>
        <w:tc>
          <w:tcPr>
            <w:tcW w:w="1080" w:type="dxa"/>
          </w:tcPr>
          <w:p w:rsidR="00CD44A4" w:rsidRPr="00421B93" w:rsidRDefault="00CD44A4" w:rsidP="005A6A74">
            <w:pPr>
              <w:pStyle w:val="PlainText"/>
              <w:spacing w:before="0" w:after="0"/>
              <w:cnfStyle w:val="000000010000" w:firstRow="0" w:lastRow="0" w:firstColumn="0" w:lastColumn="0" w:oddVBand="0" w:evenVBand="0" w:oddHBand="0" w:evenHBand="1" w:firstRowFirstColumn="0" w:firstRowLastColumn="0" w:lastRowFirstColumn="0" w:lastRowLastColumn="0"/>
            </w:pPr>
          </w:p>
        </w:tc>
      </w:tr>
      <w:tr w:rsidR="005A6A74" w:rsidRPr="00421B93" w:rsidTr="005C3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D9D9D9" w:themeFill="background1" w:themeFillShade="D9"/>
          </w:tcPr>
          <w:p w:rsidR="00CD44A4" w:rsidRPr="00421B93" w:rsidRDefault="00CD44A4" w:rsidP="005C3786">
            <w:pPr>
              <w:pStyle w:val="PlainText"/>
              <w:spacing w:before="0" w:after="0"/>
              <w:jc w:val="cente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rsidR="00CD44A4" w:rsidRPr="00421B93" w:rsidRDefault="00CD44A4" w:rsidP="005A6A74">
            <w:pPr>
              <w:pStyle w:val="TableBody"/>
            </w:pPr>
            <w:r w:rsidRPr="001E3B34">
              <w:t>Select</w:t>
            </w:r>
            <w:r>
              <w:t xml:space="preserve"> </w:t>
            </w:r>
            <w:r w:rsidRPr="001E3B34">
              <w:rPr>
                <w:b/>
              </w:rPr>
              <w:t>16</w:t>
            </w:r>
          </w:p>
        </w:tc>
        <w:tc>
          <w:tcPr>
            <w:tcW w:w="1429" w:type="dxa"/>
            <w:shd w:val="clear" w:color="auto" w:fill="D9D9D9" w:themeFill="background1" w:themeFillShade="D9"/>
          </w:tcPr>
          <w:p w:rsidR="00CD44A4" w:rsidRPr="00421B93" w:rsidRDefault="00CD44A4" w:rsidP="005A6A74">
            <w:pPr>
              <w:pStyle w:val="PlainText"/>
              <w:spacing w:before="0" w:after="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rsidR="00CD44A4" w:rsidRPr="00421B93" w:rsidRDefault="00CD44A4" w:rsidP="005A6A74">
            <w:pPr>
              <w:pStyle w:val="PlainText"/>
              <w:spacing w:before="0" w:after="0"/>
            </w:pPr>
          </w:p>
        </w:tc>
        <w:tc>
          <w:tcPr>
            <w:tcW w:w="990" w:type="dxa"/>
            <w:shd w:val="clear" w:color="auto" w:fill="D9D9D9" w:themeFill="background1" w:themeFillShade="D9"/>
          </w:tcPr>
          <w:p w:rsidR="00CD44A4" w:rsidRPr="00421B93" w:rsidRDefault="00CD44A4" w:rsidP="005A6A74">
            <w:pPr>
              <w:pStyle w:val="PlainText"/>
              <w:spacing w:before="0" w:after="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tcPr>
          <w:p w:rsidR="00CD44A4" w:rsidRPr="00421B93" w:rsidRDefault="00CD44A4" w:rsidP="005A6A74">
            <w:pPr>
              <w:pStyle w:val="PlainText"/>
              <w:spacing w:before="0" w:after="0"/>
            </w:pPr>
          </w:p>
        </w:tc>
        <w:tc>
          <w:tcPr>
            <w:tcW w:w="1080" w:type="dxa"/>
            <w:shd w:val="clear" w:color="auto" w:fill="D9D9D9" w:themeFill="background1" w:themeFillShade="D9"/>
          </w:tcPr>
          <w:p w:rsidR="00CD44A4" w:rsidRPr="00421B93" w:rsidRDefault="00CD44A4" w:rsidP="005A6A74">
            <w:pPr>
              <w:pStyle w:val="PlainText"/>
              <w:spacing w:before="0" w:after="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shd w:val="clear" w:color="auto" w:fill="D9D9D9" w:themeFill="background1" w:themeFillShade="D9"/>
          </w:tcPr>
          <w:p w:rsidR="00CD44A4" w:rsidRPr="00421B93" w:rsidRDefault="00CD44A4" w:rsidP="005A6A74">
            <w:pPr>
              <w:pStyle w:val="PlainText"/>
              <w:spacing w:before="0" w:after="0"/>
            </w:pPr>
          </w:p>
        </w:tc>
        <w:tc>
          <w:tcPr>
            <w:tcW w:w="1080" w:type="dxa"/>
            <w:shd w:val="clear" w:color="auto" w:fill="D9D9D9" w:themeFill="background1" w:themeFillShade="D9"/>
          </w:tcPr>
          <w:p w:rsidR="00CD44A4" w:rsidRPr="00421B93" w:rsidRDefault="00CD44A4" w:rsidP="005A6A74">
            <w:pPr>
              <w:pStyle w:val="PlainText"/>
              <w:spacing w:before="0" w:after="0"/>
              <w:cnfStyle w:val="000000100000" w:firstRow="0" w:lastRow="0" w:firstColumn="0" w:lastColumn="0" w:oddVBand="0" w:evenVBand="0" w:oddHBand="1" w:evenHBand="0" w:firstRowFirstColumn="0" w:firstRowLastColumn="0" w:lastRowFirstColumn="0" w:lastRowLastColumn="0"/>
            </w:pPr>
          </w:p>
        </w:tc>
      </w:tr>
      <w:tr w:rsidR="00CD44A4" w:rsidRPr="00421B93" w:rsidTr="005C37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CD44A4" w:rsidRPr="005C3786" w:rsidRDefault="00CD44A4" w:rsidP="005C3786">
            <w:pPr>
              <w:pStyle w:val="TableBody"/>
              <w:spacing w:before="100" w:after="100"/>
              <w:jc w:val="center"/>
              <w:rPr>
                <w:b/>
              </w:rPr>
            </w:pPr>
            <w:r w:rsidRPr="005C3786">
              <w:rPr>
                <w:b/>
              </w:rPr>
              <w:t>17</w:t>
            </w:r>
          </w:p>
        </w:tc>
        <w:tc>
          <w:tcPr>
            <w:cnfStyle w:val="000010000000" w:firstRow="0" w:lastRow="0" w:firstColumn="0" w:lastColumn="0" w:oddVBand="1" w:evenVBand="0" w:oddHBand="0" w:evenHBand="0" w:firstRowFirstColumn="0" w:firstRowLastColumn="0" w:lastRowFirstColumn="0" w:lastRowLastColumn="0"/>
            <w:tcW w:w="8989" w:type="dxa"/>
            <w:gridSpan w:val="8"/>
          </w:tcPr>
          <w:p w:rsidR="00CD44A4" w:rsidRPr="001E3B34" w:rsidRDefault="00CD44A4" w:rsidP="005C3786">
            <w:pPr>
              <w:pStyle w:val="TableBody"/>
              <w:spacing w:before="100" w:after="100"/>
            </w:pPr>
            <w:r w:rsidRPr="001E3B34">
              <w:t>*Dividends based on current scaleð1988 issue. Not an estimate or guarantee of future results. Hypothetical investment results are illustrations only and should not be deemed representative of past or future investment results. Results illustrated assume no loans. 8% loan provision. The illustration must be preceded or accompanied by a current prospectus.</w:t>
            </w:r>
          </w:p>
        </w:tc>
      </w:tr>
    </w:tbl>
    <w:p w:rsidR="005C3786" w:rsidRDefault="005C3786" w:rsidP="00B4004F">
      <w:pPr>
        <w:pStyle w:val="List"/>
        <w:ind w:left="0" w:firstLine="0"/>
        <w:rPr>
          <w:rFonts w:eastAsia="Arial Unicode MS"/>
        </w:rPr>
      </w:pPr>
      <w:r>
        <w:rPr>
          <w:rFonts w:eastAsia="Arial Unicode MS"/>
        </w:rPr>
        <w:br w:type="page"/>
      </w:r>
    </w:p>
    <w:p w:rsidR="005C3786" w:rsidRDefault="005C3786" w:rsidP="005C3786">
      <w:pPr>
        <w:pStyle w:val="Title2"/>
      </w:pPr>
      <w:r>
        <w:lastRenderedPageBreak/>
        <w:t>Variable and Variable Universal Life</w:t>
      </w:r>
    </w:p>
    <w:p w:rsidR="00B4004F" w:rsidRDefault="00B4004F" w:rsidP="00B4004F">
      <w:pPr>
        <w:pStyle w:val="List"/>
        <w:rPr>
          <w:rFonts w:eastAsia="Arial Unicode MS"/>
        </w:rPr>
      </w:pPr>
      <w:r>
        <w:rPr>
          <w:rFonts w:eastAsia="Arial Unicode MS"/>
        </w:rPr>
        <w:t>1.</w:t>
      </w:r>
      <w:r>
        <w:rPr>
          <w:rFonts w:eastAsia="Arial Unicode MS"/>
        </w:rPr>
        <w:tab/>
        <w:t>Initial death benefit is $100,000; plan of life insurance is variable life.</w:t>
      </w:r>
    </w:p>
    <w:p w:rsidR="00B4004F" w:rsidRDefault="00B4004F" w:rsidP="00B4004F">
      <w:pPr>
        <w:pStyle w:val="List"/>
        <w:rPr>
          <w:rFonts w:eastAsia="Arial Unicode MS"/>
        </w:rPr>
      </w:pPr>
      <w:r>
        <w:rPr>
          <w:rFonts w:eastAsia="Arial Unicode MS"/>
        </w:rPr>
        <w:t>2.</w:t>
      </w:r>
      <w:r>
        <w:rPr>
          <w:rFonts w:eastAsia="Arial Unicode MS"/>
        </w:rPr>
        <w:tab/>
        <w:t>Gender and issue age–male, age 45.</w:t>
      </w:r>
    </w:p>
    <w:p w:rsidR="00B4004F" w:rsidRDefault="00B4004F" w:rsidP="00B4004F">
      <w:pPr>
        <w:pStyle w:val="List"/>
        <w:rPr>
          <w:rFonts w:eastAsia="Arial Unicode MS"/>
        </w:rPr>
      </w:pPr>
      <w:r>
        <w:rPr>
          <w:rFonts w:eastAsia="Arial Unicode MS"/>
        </w:rPr>
        <w:t>3.</w:t>
      </w:r>
      <w:r>
        <w:rPr>
          <w:rFonts w:eastAsia="Arial Unicode MS"/>
        </w:rPr>
        <w:tab/>
        <w:t>$2,394 is the annual premium.</w:t>
      </w:r>
    </w:p>
    <w:p w:rsidR="00B4004F" w:rsidRDefault="00B4004F" w:rsidP="00B4004F">
      <w:pPr>
        <w:pStyle w:val="List"/>
        <w:rPr>
          <w:rFonts w:eastAsia="Arial Unicode MS"/>
        </w:rPr>
      </w:pPr>
      <w:r>
        <w:rPr>
          <w:rFonts w:eastAsia="Arial Unicode MS"/>
        </w:rPr>
        <w:t>4.</w:t>
      </w:r>
      <w:r>
        <w:rPr>
          <w:rFonts w:eastAsia="Arial Unicode MS"/>
        </w:rPr>
        <w:tab/>
        <w:t>Projected dividends are determined by mortality and expense factors used to purchase variable benefit paid-up life insurance. The projected dividends are small (e.g., at the beginning of the second year - $490; at the beginning of the fifth year - $592; at the beginning of the tenth year - $652; and at the beginning of the twentieth year - $453).</w:t>
      </w:r>
    </w:p>
    <w:p w:rsidR="00CD44A4" w:rsidRDefault="00CD44A4" w:rsidP="00B4004F">
      <w:pPr>
        <w:pStyle w:val="List"/>
        <w:rPr>
          <w:rFonts w:eastAsia="Arial Unicode MS"/>
        </w:rPr>
      </w:pPr>
      <w:r>
        <w:rPr>
          <w:rFonts w:eastAsia="Arial Unicode MS"/>
        </w:rPr>
        <w:t>5.</w:t>
      </w:r>
      <w:r>
        <w:rPr>
          <w:rFonts w:eastAsia="Arial Unicode MS"/>
        </w:rPr>
        <w:tab/>
        <w:t>End-of-year ledger statement. This means the initial death benefit of $100,000 is assumed to be paid at the beginning of the year. Subsequent death benefit, depending upon the interest assumption (e.g., 0 percent, 6 percent, and 12 percent), is assumed to be paid at the end of the year. Cash values (the assumed values of the separate investment account–0 percent, 6 percent, and 12 percent) are calculated as of the end of the year.</w:t>
      </w:r>
    </w:p>
    <w:p w:rsidR="00CD44A4" w:rsidRDefault="00CD44A4" w:rsidP="00E8192D">
      <w:pPr>
        <w:pStyle w:val="List"/>
        <w:rPr>
          <w:rFonts w:eastAsia="Arial Unicode MS"/>
        </w:rPr>
      </w:pPr>
      <w:r>
        <w:rPr>
          <w:rFonts w:eastAsia="Arial Unicode MS"/>
        </w:rPr>
        <w:t>6.</w:t>
      </w:r>
      <w:r>
        <w:rPr>
          <w:rFonts w:eastAsia="Arial Unicode MS"/>
        </w:rPr>
        <w:tab/>
        <w:t>Out-of-pocket cash payment is $2,394 each year, paid on an annual basis.</w:t>
      </w:r>
    </w:p>
    <w:p w:rsidR="00CD44A4" w:rsidRDefault="00CD44A4" w:rsidP="00E8192D">
      <w:pPr>
        <w:pStyle w:val="List"/>
        <w:rPr>
          <w:rFonts w:eastAsia="Arial Unicode MS"/>
        </w:rPr>
      </w:pPr>
      <w:r>
        <w:rPr>
          <w:rFonts w:eastAsia="Arial Unicode MS"/>
        </w:rPr>
        <w:t>7.</w:t>
      </w:r>
      <w:r>
        <w:rPr>
          <w:rFonts w:eastAsia="Arial Unicode MS"/>
        </w:rPr>
        <w:tab/>
        <w:t>5 percent interest assumption column. The value of $2,394 compounded at 5 percent if not used to purchase life insurance.</w:t>
      </w:r>
    </w:p>
    <w:p w:rsidR="00CD44A4" w:rsidRDefault="00CD44A4" w:rsidP="00E8192D">
      <w:pPr>
        <w:pStyle w:val="List"/>
        <w:rPr>
          <w:rFonts w:eastAsia="Arial Unicode MS"/>
        </w:rPr>
      </w:pPr>
      <w:r>
        <w:rPr>
          <w:rFonts w:eastAsia="Arial Unicode MS"/>
        </w:rPr>
        <w:t>8.</w:t>
      </w:r>
      <w:r>
        <w:rPr>
          <w:rFonts w:eastAsia="Arial Unicode MS"/>
        </w:rPr>
        <w:tab/>
        <w:t>Death benefit increase because of the projected dividends purchasing additional paid-up life insurance. In the absence of dividends, the death benefit would not increase because the separate investment account must produce a rate of return in excess of 4 percent in order for the death benefit to increase.</w:t>
      </w:r>
    </w:p>
    <w:p w:rsidR="00CD44A4" w:rsidRDefault="00CD44A4" w:rsidP="00E8192D">
      <w:pPr>
        <w:pStyle w:val="List"/>
        <w:rPr>
          <w:rFonts w:eastAsia="Arial Unicode MS"/>
        </w:rPr>
      </w:pPr>
      <w:r>
        <w:rPr>
          <w:rFonts w:eastAsia="Arial Unicode MS"/>
        </w:rPr>
        <w:t>9.</w:t>
      </w:r>
      <w:r>
        <w:rPr>
          <w:rFonts w:eastAsia="Arial Unicode MS"/>
        </w:rPr>
        <w:tab/>
        <w:t>Death benefit increases due to the projected dividends purchasing additional paid-up life insurance and the 6 percent interest assumption.</w:t>
      </w:r>
    </w:p>
    <w:p w:rsidR="00CD44A4" w:rsidRDefault="00CD44A4" w:rsidP="00E8192D">
      <w:pPr>
        <w:pStyle w:val="List"/>
        <w:rPr>
          <w:rFonts w:eastAsia="Arial Unicode MS"/>
        </w:rPr>
      </w:pPr>
      <w:r>
        <w:rPr>
          <w:rFonts w:eastAsia="Arial Unicode MS"/>
        </w:rPr>
        <w:t>10.</w:t>
      </w:r>
      <w:r>
        <w:rPr>
          <w:rFonts w:eastAsia="Arial Unicode MS"/>
        </w:rPr>
        <w:tab/>
        <w:t>Death benefit increases due to projected dividends purchasing additional paid-up life insurance and 12 percent interest assumption.</w:t>
      </w:r>
    </w:p>
    <w:p w:rsidR="00CD44A4" w:rsidRDefault="00CD44A4" w:rsidP="00E8192D">
      <w:pPr>
        <w:pStyle w:val="List"/>
        <w:rPr>
          <w:rFonts w:eastAsia="Arial Unicode MS"/>
        </w:rPr>
      </w:pPr>
      <w:r>
        <w:rPr>
          <w:rFonts w:eastAsia="Arial Unicode MS"/>
        </w:rPr>
        <w:t>11.</w:t>
      </w:r>
      <w:r>
        <w:rPr>
          <w:rFonts w:eastAsia="Arial Unicode MS"/>
        </w:rPr>
        <w:tab/>
        <w:t>This column has a value even at 0 percent interest assumption because not all of the premiums paid were required to meet the insurance company’s expenses.</w:t>
      </w:r>
    </w:p>
    <w:p w:rsidR="00CD44A4" w:rsidRDefault="00CD44A4" w:rsidP="00E8192D">
      <w:pPr>
        <w:pStyle w:val="List"/>
        <w:rPr>
          <w:rFonts w:eastAsia="Arial Unicode MS"/>
        </w:rPr>
      </w:pPr>
      <w:r>
        <w:rPr>
          <w:rFonts w:eastAsia="Arial Unicode MS"/>
        </w:rPr>
        <w:t>12.</w:t>
      </w:r>
      <w:r>
        <w:rPr>
          <w:rFonts w:eastAsia="Arial Unicode MS"/>
        </w:rPr>
        <w:tab/>
        <w:t>The projected value of the separate investment account (cash value) based on a net investment return (after expenses and deductions) of 6 percent.</w:t>
      </w:r>
    </w:p>
    <w:p w:rsidR="00CD44A4" w:rsidRDefault="00CD44A4" w:rsidP="00E8192D">
      <w:pPr>
        <w:pStyle w:val="List"/>
        <w:rPr>
          <w:rFonts w:eastAsia="Arial Unicode MS"/>
        </w:rPr>
      </w:pPr>
      <w:r>
        <w:rPr>
          <w:rFonts w:eastAsia="Arial Unicode MS"/>
        </w:rPr>
        <w:t>13.</w:t>
      </w:r>
      <w:r>
        <w:rPr>
          <w:rFonts w:eastAsia="Arial Unicode MS"/>
        </w:rPr>
        <w:tab/>
        <w:t>The projected value of the separate investment account (cash value) based on a net investment return (after expenses and deductions) of 12 percent.</w:t>
      </w:r>
    </w:p>
    <w:p w:rsidR="00CD44A4" w:rsidRDefault="00CD44A4" w:rsidP="00E8192D">
      <w:pPr>
        <w:pStyle w:val="List"/>
        <w:rPr>
          <w:rFonts w:eastAsia="Arial Unicode MS"/>
        </w:rPr>
      </w:pPr>
      <w:r>
        <w:rPr>
          <w:rFonts w:eastAsia="Arial Unicode MS"/>
        </w:rPr>
        <w:t>14.</w:t>
      </w:r>
      <w:r>
        <w:rPr>
          <w:rFonts w:eastAsia="Arial Unicode MS"/>
        </w:rPr>
        <w:tab/>
        <w:t>Annual premium for $100,000 variable life is $2,394. The monthly premium by automatic deduction from checking account is $211.10.</w:t>
      </w:r>
    </w:p>
    <w:p w:rsidR="00CD44A4" w:rsidRDefault="00CD44A4" w:rsidP="00E8192D">
      <w:pPr>
        <w:pStyle w:val="List"/>
        <w:rPr>
          <w:rFonts w:eastAsia="Arial Unicode MS"/>
        </w:rPr>
      </w:pPr>
      <w:r>
        <w:rPr>
          <w:rFonts w:eastAsia="Arial Unicode MS"/>
        </w:rPr>
        <w:t>15.</w:t>
      </w:r>
      <w:r>
        <w:rPr>
          <w:rFonts w:eastAsia="Arial Unicode MS"/>
        </w:rPr>
        <w:tab/>
        <w:t>The underwriting requirements (medical, social, and economic) of the insurance company must be met, in order for the insurance to be issued.</w:t>
      </w:r>
    </w:p>
    <w:p w:rsidR="00CD44A4" w:rsidRDefault="00CD44A4" w:rsidP="00E8192D">
      <w:pPr>
        <w:pStyle w:val="List"/>
        <w:rPr>
          <w:rFonts w:eastAsia="Arial Unicode MS"/>
        </w:rPr>
      </w:pPr>
      <w:r>
        <w:rPr>
          <w:rFonts w:eastAsia="Arial Unicode MS"/>
        </w:rPr>
        <w:t>16.</w:t>
      </w:r>
      <w:r>
        <w:rPr>
          <w:rFonts w:eastAsia="Arial Unicode MS"/>
        </w:rPr>
        <w:tab/>
        <w:t>Insurability status – e.g., nonsmoker or smoker, or rated (extra charge because of being a higher risk for medical or occupational reasons). Select for this company means nonsmoker, nonrated. It is the company’s best insurability classification.</w:t>
      </w:r>
    </w:p>
    <w:p w:rsidR="005C3786" w:rsidRDefault="005C3786" w:rsidP="00E8192D">
      <w:pPr>
        <w:pStyle w:val="List"/>
        <w:rPr>
          <w:rFonts w:eastAsia="Arial Unicode MS"/>
        </w:rPr>
      </w:pPr>
      <w:r>
        <w:rPr>
          <w:rFonts w:eastAsia="Arial Unicode MS"/>
        </w:rPr>
        <w:lastRenderedPageBreak/>
        <w:br w:type="page"/>
      </w:r>
    </w:p>
    <w:p w:rsidR="00B4004F" w:rsidRPr="00B4004F" w:rsidRDefault="005C3786" w:rsidP="00B4004F">
      <w:pPr>
        <w:pStyle w:val="Title2"/>
      </w:pPr>
      <w:r>
        <w:lastRenderedPageBreak/>
        <w:t>Variable and Variable Universal Life</w:t>
      </w:r>
    </w:p>
    <w:p w:rsidR="00B4004F" w:rsidRDefault="00B4004F" w:rsidP="00B4004F">
      <w:pPr>
        <w:pStyle w:val="Body"/>
      </w:pPr>
      <w:r>
        <w:t xml:space="preserve">17. </w:t>
      </w:r>
      <w:r>
        <w:t>Statement about dividends, assumed investment returns (e.g., 6 percent and 12 percent) and loan interest of 8 percent. In addition, there is a statement pertaining to the prospectus which clearly indicates that variable life is considered a security and as such must be registered with the Securities and Exchange Commission (SEC).</w:t>
      </w:r>
    </w:p>
    <w:p w:rsidR="00CD44A4" w:rsidRDefault="00CD44A4" w:rsidP="00E8192D">
      <w:pPr>
        <w:pStyle w:val="NUHeading2"/>
        <w:rPr>
          <w:rFonts w:eastAsia="Arial Unicode MS"/>
        </w:rPr>
      </w:pPr>
      <w:r>
        <w:rPr>
          <w:rFonts w:eastAsia="Arial Unicode MS"/>
        </w:rPr>
        <w:t>What Ledger Statements Do Not Tell</w:t>
      </w:r>
    </w:p>
    <w:p w:rsidR="00CD44A4" w:rsidRDefault="00CD44A4" w:rsidP="00E8192D">
      <w:pPr>
        <w:pStyle w:val="Body"/>
        <w:rPr>
          <w:rFonts w:eastAsia="Arial Unicode MS"/>
        </w:rPr>
      </w:pPr>
      <w:r>
        <w:rPr>
          <w:rFonts w:eastAsia="Arial Unicode MS"/>
        </w:rPr>
        <w:t>You should be told either verbally or in writing the following additional information:</w:t>
      </w:r>
    </w:p>
    <w:p w:rsidR="00CD44A4" w:rsidRPr="00E8192D" w:rsidRDefault="00CD44A4" w:rsidP="00E8192D">
      <w:pPr>
        <w:pStyle w:val="ListBullet"/>
        <w:ind w:left="360" w:hanging="360"/>
        <w:rPr>
          <w:rFonts w:eastAsia="Arial Unicode MS"/>
        </w:rPr>
      </w:pPr>
      <w:r w:rsidRPr="00E8192D">
        <w:rPr>
          <w:rFonts w:eastAsia="Arial Unicode MS"/>
        </w:rPr>
        <w:t>The separate investment account, which is analogous to the reserve (cash value) of traditional whole life, graded premium life, interest sensitive, and universal life, is made up of four divisions: (1) stock; (2) bond; (3) money market; and (4) master portfolio. The master portion typically consists of common stock, other equity securities, bonds, and money market instruments. Inquire about what percentage of your net premium can go into each. In addition, find out how often you can change from one to the other.</w:t>
      </w:r>
    </w:p>
    <w:p w:rsidR="00CD44A4" w:rsidRPr="00E8192D" w:rsidRDefault="00CD44A4" w:rsidP="00E8192D">
      <w:pPr>
        <w:pStyle w:val="ListBullet"/>
        <w:ind w:left="360" w:hanging="360"/>
        <w:rPr>
          <w:rFonts w:eastAsia="Arial Unicode MS"/>
        </w:rPr>
      </w:pPr>
      <w:r w:rsidRPr="00E8192D">
        <w:rPr>
          <w:rFonts w:eastAsia="Arial Unicode MS"/>
        </w:rPr>
        <w:t>Note whether the various expenses and deductions are contractually guaranteed not to increase. For this company, variable life policy charges to the policy are: sales loads, policy fees, annual administration charges, state premium tax, and risk charge. Charges to the separate investment account are: cost of insurance (mortality charges), mortality and risk expense, and management fees and expenses. Ask for a total disclosure of each.</w:t>
      </w:r>
    </w:p>
    <w:p w:rsidR="00CD44A4" w:rsidRPr="00E8192D" w:rsidRDefault="00CD44A4" w:rsidP="00E8192D">
      <w:pPr>
        <w:pStyle w:val="ListBullet"/>
        <w:ind w:left="360" w:hanging="360"/>
        <w:rPr>
          <w:rFonts w:eastAsia="Arial Unicode MS"/>
        </w:rPr>
      </w:pPr>
      <w:r w:rsidRPr="00E8192D">
        <w:rPr>
          <w:rFonts w:eastAsia="Arial Unicode MS"/>
        </w:rPr>
        <w:t>The rate of return expressed in terms of compound interest should be given either on the ledger statement or by the life insurance agent. Ideally, it should be provided for each year.</w:t>
      </w:r>
    </w:p>
    <w:p w:rsidR="00CD44A4" w:rsidRPr="00E8192D" w:rsidRDefault="00CD44A4" w:rsidP="00E8192D">
      <w:pPr>
        <w:pStyle w:val="ListBullet"/>
        <w:ind w:left="360" w:hanging="360"/>
        <w:rPr>
          <w:rFonts w:eastAsia="Arial Unicode MS"/>
        </w:rPr>
      </w:pPr>
      <w:r w:rsidRPr="00E8192D">
        <w:rPr>
          <w:rFonts w:eastAsia="Arial Unicode MS"/>
        </w:rPr>
        <w:t>The rate of return upon death for this policy for sequential years is as follows:</w:t>
      </w:r>
    </w:p>
    <w:tbl>
      <w:tblPr>
        <w:tblStyle w:val="NewStyle2014"/>
        <w:tblW w:w="0" w:type="auto"/>
        <w:tblLook w:val="01E0" w:firstRow="1" w:lastRow="1" w:firstColumn="1" w:lastColumn="1" w:noHBand="0" w:noVBand="0"/>
      </w:tblPr>
      <w:tblGrid>
        <w:gridCol w:w="1908"/>
        <w:gridCol w:w="2145"/>
      </w:tblGrid>
      <w:tr w:rsidR="00CD44A4" w:rsidRPr="001E3B34" w:rsidTr="00057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CD44A4" w:rsidRPr="001E3B34" w:rsidRDefault="00CD44A4" w:rsidP="0005783B">
            <w:pPr>
              <w:pStyle w:val="TableHead1"/>
            </w:pPr>
            <w:r w:rsidRPr="001E3B34">
              <w:t>Year</w:t>
            </w:r>
          </w:p>
        </w:tc>
        <w:tc>
          <w:tcPr>
            <w:cnfStyle w:val="000010000000" w:firstRow="0" w:lastRow="0" w:firstColumn="0" w:lastColumn="0" w:oddVBand="1" w:evenVBand="0" w:oddHBand="0" w:evenHBand="0" w:firstRowFirstColumn="0" w:firstRowLastColumn="0" w:lastRowFirstColumn="0" w:lastRowLastColumn="0"/>
            <w:tcW w:w="2145" w:type="dxa"/>
          </w:tcPr>
          <w:p w:rsidR="00CD44A4" w:rsidRPr="001E3B34" w:rsidRDefault="00CD44A4" w:rsidP="0005783B">
            <w:pPr>
              <w:pStyle w:val="TableHead1"/>
            </w:pPr>
            <w:r w:rsidRPr="001E3B34">
              <w:t>Rate of return</w:t>
            </w:r>
          </w:p>
        </w:tc>
      </w:tr>
      <w:tr w:rsidR="00CD44A4" w:rsidRPr="001E3B34" w:rsidTr="0005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CD44A4" w:rsidRPr="001E3B34" w:rsidRDefault="00CD44A4" w:rsidP="0005783B">
            <w:pPr>
              <w:pStyle w:val="TableBody"/>
              <w:jc w:val="center"/>
              <w:rPr>
                <w:rFonts w:eastAsia="MS Mincho"/>
              </w:rPr>
            </w:pPr>
            <w:r w:rsidRPr="001E3B34">
              <w:rPr>
                <w:rFonts w:eastAsia="MS Mincho"/>
              </w:rPr>
              <w:t>1</w:t>
            </w:r>
          </w:p>
        </w:tc>
        <w:tc>
          <w:tcPr>
            <w:cnfStyle w:val="000010000000" w:firstRow="0" w:lastRow="0" w:firstColumn="0" w:lastColumn="0" w:oddVBand="1" w:evenVBand="0" w:oddHBand="0" w:evenHBand="0" w:firstRowFirstColumn="0" w:firstRowLastColumn="0" w:lastRowFirstColumn="0" w:lastRowLastColumn="0"/>
            <w:tcW w:w="2145" w:type="dxa"/>
          </w:tcPr>
          <w:p w:rsidR="00CD44A4" w:rsidRPr="001E3B34" w:rsidRDefault="00CD44A4" w:rsidP="0005783B">
            <w:pPr>
              <w:pStyle w:val="TableBody"/>
              <w:jc w:val="center"/>
              <w:rPr>
                <w:rFonts w:eastAsia="MS Mincho"/>
              </w:rPr>
            </w:pPr>
            <w:r w:rsidRPr="001E3B34">
              <w:rPr>
                <w:rFonts w:eastAsia="MS Mincho"/>
              </w:rPr>
              <w:t>4,141.10%</w:t>
            </w:r>
          </w:p>
        </w:tc>
      </w:tr>
      <w:tr w:rsidR="00CD44A4" w:rsidRPr="001E3B34" w:rsidTr="00057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CD44A4" w:rsidRPr="001E3B34" w:rsidRDefault="00CD44A4" w:rsidP="0005783B">
            <w:pPr>
              <w:pStyle w:val="TableBody"/>
              <w:jc w:val="center"/>
              <w:rPr>
                <w:rFonts w:eastAsia="MS Mincho"/>
              </w:rPr>
            </w:pPr>
            <w:r w:rsidRPr="001E3B34">
              <w:rPr>
                <w:rFonts w:eastAsia="MS Mincho"/>
              </w:rPr>
              <w:t>5</w:t>
            </w:r>
          </w:p>
        </w:tc>
        <w:tc>
          <w:tcPr>
            <w:cnfStyle w:val="000010000000" w:firstRow="0" w:lastRow="0" w:firstColumn="0" w:lastColumn="0" w:oddVBand="1" w:evenVBand="0" w:oddHBand="0" w:evenHBand="0" w:firstRowFirstColumn="0" w:firstRowLastColumn="0" w:lastRowFirstColumn="0" w:lastRowLastColumn="0"/>
            <w:tcW w:w="2145" w:type="dxa"/>
          </w:tcPr>
          <w:p w:rsidR="00CD44A4" w:rsidRPr="001E3B34" w:rsidRDefault="00CD44A4" w:rsidP="0005783B">
            <w:pPr>
              <w:pStyle w:val="TableBody"/>
              <w:jc w:val="center"/>
              <w:rPr>
                <w:rFonts w:eastAsia="MS Mincho"/>
              </w:rPr>
            </w:pPr>
            <w:r w:rsidRPr="001E3B34">
              <w:rPr>
                <w:rFonts w:eastAsia="MS Mincho"/>
              </w:rPr>
              <w:t>86.94</w:t>
            </w:r>
          </w:p>
        </w:tc>
      </w:tr>
      <w:tr w:rsidR="00CD44A4" w:rsidRPr="001E3B34" w:rsidTr="0005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CD44A4" w:rsidRPr="001E3B34" w:rsidRDefault="00CD44A4" w:rsidP="0005783B">
            <w:pPr>
              <w:pStyle w:val="TableBody"/>
              <w:jc w:val="center"/>
              <w:rPr>
                <w:rFonts w:eastAsia="MS Mincho"/>
              </w:rPr>
            </w:pPr>
            <w:r w:rsidRPr="001E3B34">
              <w:rPr>
                <w:rFonts w:eastAsia="MS Mincho"/>
              </w:rPr>
              <w:t>10</w:t>
            </w:r>
          </w:p>
        </w:tc>
        <w:tc>
          <w:tcPr>
            <w:cnfStyle w:val="000010000000" w:firstRow="0" w:lastRow="0" w:firstColumn="0" w:lastColumn="0" w:oddVBand="1" w:evenVBand="0" w:oddHBand="0" w:evenHBand="0" w:firstRowFirstColumn="0" w:firstRowLastColumn="0" w:lastRowFirstColumn="0" w:lastRowLastColumn="0"/>
            <w:tcW w:w="2145" w:type="dxa"/>
          </w:tcPr>
          <w:p w:rsidR="00CD44A4" w:rsidRPr="001E3B34" w:rsidRDefault="00CD44A4" w:rsidP="0005783B">
            <w:pPr>
              <w:pStyle w:val="TableBody"/>
              <w:jc w:val="center"/>
              <w:rPr>
                <w:rFonts w:eastAsia="MS Mincho"/>
              </w:rPr>
            </w:pPr>
            <w:r w:rsidRPr="001E3B34">
              <w:rPr>
                <w:rFonts w:eastAsia="MS Mincho"/>
              </w:rPr>
              <w:t>30.81</w:t>
            </w:r>
          </w:p>
        </w:tc>
      </w:tr>
      <w:tr w:rsidR="00CD44A4" w:rsidRPr="001E3B34" w:rsidTr="000578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CD44A4" w:rsidRPr="001E3B34" w:rsidRDefault="00CD44A4" w:rsidP="0005783B">
            <w:pPr>
              <w:pStyle w:val="TableBody"/>
              <w:jc w:val="center"/>
              <w:rPr>
                <w:rFonts w:eastAsia="MS Mincho"/>
              </w:rPr>
            </w:pPr>
            <w:r w:rsidRPr="001E3B34">
              <w:rPr>
                <w:rFonts w:eastAsia="MS Mincho"/>
              </w:rPr>
              <w:t>20</w:t>
            </w:r>
          </w:p>
        </w:tc>
        <w:tc>
          <w:tcPr>
            <w:cnfStyle w:val="000010000000" w:firstRow="0" w:lastRow="0" w:firstColumn="0" w:lastColumn="0" w:oddVBand="1" w:evenVBand="0" w:oddHBand="0" w:evenHBand="0" w:firstRowFirstColumn="0" w:firstRowLastColumn="0" w:lastRowFirstColumn="0" w:lastRowLastColumn="0"/>
            <w:tcW w:w="2145" w:type="dxa"/>
          </w:tcPr>
          <w:p w:rsidR="00CD44A4" w:rsidRPr="001E3B34" w:rsidRDefault="00CD44A4" w:rsidP="0005783B">
            <w:pPr>
              <w:pStyle w:val="TableBody"/>
              <w:jc w:val="center"/>
              <w:rPr>
                <w:rFonts w:eastAsia="MS Mincho"/>
              </w:rPr>
            </w:pPr>
            <w:r w:rsidRPr="001E3B34">
              <w:rPr>
                <w:rFonts w:eastAsia="MS Mincho"/>
              </w:rPr>
              <w:t>14.25</w:t>
            </w:r>
          </w:p>
        </w:tc>
      </w:tr>
    </w:tbl>
    <w:p w:rsidR="005C3786" w:rsidRDefault="00CD44A4" w:rsidP="00E8192D">
      <w:pPr>
        <w:pStyle w:val="ListBullet"/>
        <w:ind w:left="360" w:hanging="360"/>
        <w:rPr>
          <w:rFonts w:eastAsia="Arial Unicode MS"/>
        </w:rPr>
      </w:pPr>
      <w:r w:rsidRPr="00E8192D">
        <w:rPr>
          <w:rFonts w:eastAsia="Arial Unicode MS"/>
        </w:rPr>
        <w:t>The above rates are based on a 12% interest assumption death benefit.</w:t>
      </w:r>
      <w:r w:rsidR="005C3786">
        <w:rPr>
          <w:rFonts w:eastAsia="Arial Unicode MS"/>
        </w:rPr>
        <w:br w:type="page"/>
      </w:r>
    </w:p>
    <w:p w:rsidR="005C3786" w:rsidRDefault="005C3786" w:rsidP="005C3786">
      <w:pPr>
        <w:pStyle w:val="Title2"/>
      </w:pPr>
      <w:r>
        <w:lastRenderedPageBreak/>
        <w:t>Variable and Variable Universal Life</w:t>
      </w:r>
    </w:p>
    <w:p w:rsidR="00CD44A4" w:rsidRPr="00E8192D" w:rsidRDefault="00CD44A4" w:rsidP="00E8192D">
      <w:pPr>
        <w:pStyle w:val="ListBullet"/>
        <w:ind w:left="360" w:hanging="360"/>
        <w:rPr>
          <w:rFonts w:eastAsia="Arial Unicode MS"/>
        </w:rPr>
      </w:pPr>
      <w:r w:rsidRPr="00E8192D">
        <w:rPr>
          <w:rFonts w:eastAsia="Arial Unicode MS"/>
        </w:rPr>
        <w:t>The rate of return upon death can be used when comparing various variable life policies among respected companies. (It can also be used for any life insurance policy.) Consider the following example:</w:t>
      </w:r>
    </w:p>
    <w:tbl>
      <w:tblPr>
        <w:tblStyle w:val="NewStyle2014"/>
        <w:tblW w:w="0" w:type="auto"/>
        <w:tblLook w:val="01E0" w:firstRow="1" w:lastRow="1" w:firstColumn="1" w:lastColumn="1" w:noHBand="0" w:noVBand="0"/>
      </w:tblPr>
      <w:tblGrid>
        <w:gridCol w:w="1988"/>
        <w:gridCol w:w="2304"/>
      </w:tblGrid>
      <w:tr w:rsidR="00CD44A4" w:rsidRPr="001E3B34" w:rsidTr="0005783B">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988" w:type="dxa"/>
          </w:tcPr>
          <w:p w:rsidR="00CD44A4" w:rsidRPr="001E3B34" w:rsidRDefault="00CD44A4" w:rsidP="0005783B">
            <w:pPr>
              <w:pStyle w:val="TableHead1"/>
            </w:pPr>
            <w:r w:rsidRPr="001E3B34">
              <w:t>Rate of return upon</w:t>
            </w:r>
          </w:p>
          <w:p w:rsidR="00CD44A4" w:rsidRPr="001E3B34" w:rsidRDefault="00CD44A4" w:rsidP="0005783B">
            <w:pPr>
              <w:pStyle w:val="TableHead1"/>
            </w:pPr>
            <w:r w:rsidRPr="001E3B34">
              <w:t>death in year 20</w:t>
            </w:r>
          </w:p>
        </w:tc>
        <w:tc>
          <w:tcPr>
            <w:cnfStyle w:val="000010000000" w:firstRow="0" w:lastRow="0" w:firstColumn="0" w:lastColumn="0" w:oddVBand="1" w:evenVBand="0" w:oddHBand="0" w:evenHBand="0" w:firstRowFirstColumn="0" w:firstRowLastColumn="0" w:lastRowFirstColumn="0" w:lastRowLastColumn="0"/>
            <w:tcW w:w="2304" w:type="dxa"/>
          </w:tcPr>
          <w:p w:rsidR="00CD44A4" w:rsidRPr="001E3B34" w:rsidRDefault="00CD44A4" w:rsidP="0005783B">
            <w:pPr>
              <w:pStyle w:val="TableHead1"/>
            </w:pPr>
            <w:r w:rsidRPr="001E3B34">
              <w:t>Cost per $1,000</w:t>
            </w:r>
          </w:p>
          <w:p w:rsidR="00CD44A4" w:rsidRPr="001E3B34" w:rsidRDefault="00CD44A4" w:rsidP="0005783B">
            <w:pPr>
              <w:pStyle w:val="TableHead1"/>
            </w:pPr>
            <w:r w:rsidRPr="001E3B34">
              <w:t>of life insurance per</w:t>
            </w:r>
          </w:p>
          <w:p w:rsidR="00CD44A4" w:rsidRPr="001E3B34" w:rsidRDefault="00CD44A4" w:rsidP="0005783B">
            <w:pPr>
              <w:pStyle w:val="TableHead1"/>
            </w:pPr>
            <w:r w:rsidRPr="001E3B34">
              <w:t>year for 20 years</w:t>
            </w:r>
          </w:p>
        </w:tc>
      </w:tr>
      <w:tr w:rsidR="00CD44A4" w:rsidRPr="001E3B34" w:rsidTr="0005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rsidR="00CD44A4" w:rsidRPr="001E3B34" w:rsidRDefault="00CD44A4" w:rsidP="0005783B">
            <w:pPr>
              <w:pStyle w:val="TableBody"/>
              <w:jc w:val="center"/>
              <w:rPr>
                <w:rFonts w:eastAsia="MS Mincho"/>
              </w:rPr>
            </w:pPr>
            <w:r w:rsidRPr="001E3B34">
              <w:rPr>
                <w:rFonts w:eastAsia="MS Mincho"/>
              </w:rPr>
              <w:t>14.25%</w:t>
            </w:r>
          </w:p>
        </w:tc>
        <w:tc>
          <w:tcPr>
            <w:cnfStyle w:val="000010000000" w:firstRow="0" w:lastRow="0" w:firstColumn="0" w:lastColumn="0" w:oddVBand="1" w:evenVBand="0" w:oddHBand="0" w:evenHBand="0" w:firstRowFirstColumn="0" w:firstRowLastColumn="0" w:lastRowFirstColumn="0" w:lastRowLastColumn="0"/>
            <w:tcW w:w="2304" w:type="dxa"/>
          </w:tcPr>
          <w:p w:rsidR="00CD44A4" w:rsidRPr="001E3B34" w:rsidRDefault="00CD44A4" w:rsidP="0005783B">
            <w:pPr>
              <w:pStyle w:val="TableBody"/>
              <w:jc w:val="center"/>
              <w:rPr>
                <w:rFonts w:eastAsia="MS Mincho"/>
              </w:rPr>
            </w:pPr>
            <w:r w:rsidRPr="001E3B34">
              <w:rPr>
                <w:rFonts w:eastAsia="MS Mincho"/>
              </w:rPr>
              <w:t>$ 9.34</w:t>
            </w:r>
          </w:p>
        </w:tc>
      </w:tr>
      <w:tr w:rsidR="00CD44A4" w:rsidRPr="001E3B34" w:rsidTr="00057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rsidR="00CD44A4" w:rsidRPr="001E3B34" w:rsidRDefault="00CD44A4" w:rsidP="0005783B">
            <w:pPr>
              <w:pStyle w:val="TableBody"/>
              <w:jc w:val="center"/>
              <w:rPr>
                <w:rFonts w:eastAsia="MS Mincho"/>
              </w:rPr>
            </w:pPr>
            <w:r w:rsidRPr="001E3B34">
              <w:rPr>
                <w:rFonts w:eastAsia="MS Mincho"/>
              </w:rPr>
              <w:t>14.23</w:t>
            </w:r>
          </w:p>
        </w:tc>
        <w:tc>
          <w:tcPr>
            <w:cnfStyle w:val="000010000000" w:firstRow="0" w:lastRow="0" w:firstColumn="0" w:lastColumn="0" w:oddVBand="1" w:evenVBand="0" w:oddHBand="0" w:evenHBand="0" w:firstRowFirstColumn="0" w:firstRowLastColumn="0" w:lastRowFirstColumn="0" w:lastRowLastColumn="0"/>
            <w:tcW w:w="2304" w:type="dxa"/>
          </w:tcPr>
          <w:p w:rsidR="00CD44A4" w:rsidRPr="001E3B34" w:rsidRDefault="00CD44A4" w:rsidP="0005783B">
            <w:pPr>
              <w:pStyle w:val="TableBody"/>
              <w:jc w:val="center"/>
              <w:rPr>
                <w:rFonts w:eastAsia="MS Mincho"/>
              </w:rPr>
            </w:pPr>
            <w:r w:rsidRPr="001E3B34">
              <w:rPr>
                <w:rFonts w:eastAsia="MS Mincho"/>
              </w:rPr>
              <w:t>9.36</w:t>
            </w:r>
          </w:p>
        </w:tc>
      </w:tr>
      <w:tr w:rsidR="00CD44A4" w:rsidRPr="001E3B34" w:rsidTr="0005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rsidR="00CD44A4" w:rsidRPr="001E3B34" w:rsidRDefault="00CD44A4" w:rsidP="0005783B">
            <w:pPr>
              <w:pStyle w:val="TableBody"/>
              <w:jc w:val="center"/>
              <w:rPr>
                <w:rFonts w:eastAsia="MS Mincho"/>
              </w:rPr>
            </w:pPr>
            <w:r w:rsidRPr="001E3B34">
              <w:rPr>
                <w:rFonts w:eastAsia="MS Mincho"/>
              </w:rPr>
              <w:t>13.25</w:t>
            </w:r>
          </w:p>
        </w:tc>
        <w:tc>
          <w:tcPr>
            <w:cnfStyle w:val="000010000000" w:firstRow="0" w:lastRow="0" w:firstColumn="0" w:lastColumn="0" w:oddVBand="1" w:evenVBand="0" w:oddHBand="0" w:evenHBand="0" w:firstRowFirstColumn="0" w:firstRowLastColumn="0" w:lastRowFirstColumn="0" w:lastRowLastColumn="0"/>
            <w:tcW w:w="2304" w:type="dxa"/>
          </w:tcPr>
          <w:p w:rsidR="00CD44A4" w:rsidRPr="001E3B34" w:rsidRDefault="00CD44A4" w:rsidP="0005783B">
            <w:pPr>
              <w:pStyle w:val="TableBody"/>
              <w:jc w:val="center"/>
              <w:rPr>
                <w:rFonts w:eastAsia="MS Mincho"/>
              </w:rPr>
            </w:pPr>
            <w:r w:rsidRPr="001E3B34">
              <w:rPr>
                <w:rFonts w:eastAsia="MS Mincho"/>
              </w:rPr>
              <w:t>10.59</w:t>
            </w:r>
          </w:p>
        </w:tc>
      </w:tr>
      <w:tr w:rsidR="00CD44A4" w:rsidRPr="001E3B34" w:rsidTr="000578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rsidR="00CD44A4" w:rsidRPr="001E3B34" w:rsidRDefault="00CD44A4" w:rsidP="0005783B">
            <w:pPr>
              <w:pStyle w:val="TableBody"/>
              <w:jc w:val="center"/>
              <w:rPr>
                <w:rFonts w:eastAsia="MS Mincho"/>
              </w:rPr>
            </w:pPr>
            <w:r w:rsidRPr="001E3B34">
              <w:rPr>
                <w:rFonts w:eastAsia="MS Mincho"/>
              </w:rPr>
              <w:t>13.00</w:t>
            </w:r>
          </w:p>
        </w:tc>
        <w:tc>
          <w:tcPr>
            <w:cnfStyle w:val="000010000000" w:firstRow="0" w:lastRow="0" w:firstColumn="0" w:lastColumn="0" w:oddVBand="1" w:evenVBand="0" w:oddHBand="0" w:evenHBand="0" w:firstRowFirstColumn="0" w:firstRowLastColumn="0" w:lastRowFirstColumn="0" w:lastRowLastColumn="0"/>
            <w:tcW w:w="2304" w:type="dxa"/>
          </w:tcPr>
          <w:p w:rsidR="00CD44A4" w:rsidRPr="001E3B34" w:rsidRDefault="00CD44A4" w:rsidP="0005783B">
            <w:pPr>
              <w:pStyle w:val="TableBody"/>
              <w:jc w:val="center"/>
              <w:rPr>
                <w:rFonts w:eastAsia="MS Mincho"/>
              </w:rPr>
            </w:pPr>
            <w:r w:rsidRPr="001E3B34">
              <w:rPr>
                <w:rFonts w:eastAsia="MS Mincho"/>
              </w:rPr>
              <w:t>10.93</w:t>
            </w:r>
          </w:p>
        </w:tc>
      </w:tr>
    </w:tbl>
    <w:p w:rsidR="00CD44A4" w:rsidRPr="00E8192D" w:rsidRDefault="00CD44A4" w:rsidP="00E8192D">
      <w:pPr>
        <w:pStyle w:val="ListBullet"/>
        <w:ind w:left="360" w:hanging="360"/>
        <w:rPr>
          <w:rFonts w:eastAsia="Arial Unicode MS"/>
        </w:rPr>
      </w:pPr>
      <w:r w:rsidRPr="00E8192D">
        <w:rPr>
          <w:rFonts w:eastAsia="Arial Unicode MS"/>
        </w:rPr>
        <w:t xml:space="preserve">How were these numbers determined? $1,000 is the future value (death benefit) to be paid, 20 years is the time. Interest is known (14.25 percent, 14.23 percent, 13.25 percent, </w:t>
      </w:r>
      <w:proofErr w:type="gramStart"/>
      <w:r w:rsidRPr="00E8192D">
        <w:rPr>
          <w:rFonts w:eastAsia="Arial Unicode MS"/>
        </w:rPr>
        <w:t>13</w:t>
      </w:r>
      <w:proofErr w:type="gramEnd"/>
      <w:r w:rsidRPr="00E8192D">
        <w:rPr>
          <w:rFonts w:eastAsia="Arial Unicode MS"/>
        </w:rPr>
        <w:t xml:space="preserve"> percent). You then solve for payment – how much must be spent each year to accumulate $1,000 in 20 years at the various interest rates?</w:t>
      </w:r>
    </w:p>
    <w:p w:rsidR="00CD44A4" w:rsidRPr="00E8192D" w:rsidRDefault="00CD44A4" w:rsidP="00E8192D">
      <w:pPr>
        <w:pStyle w:val="ListBullet"/>
        <w:ind w:left="360" w:hanging="360"/>
        <w:rPr>
          <w:rFonts w:eastAsia="Arial Unicode MS"/>
        </w:rPr>
      </w:pPr>
      <w:r w:rsidRPr="00E8192D">
        <w:rPr>
          <w:rFonts w:eastAsia="Arial Unicode MS"/>
        </w:rPr>
        <w:t>Once the rate of return upon death is known, then it can be determined what would have to be earned before taxes in other financial services products such as mutual funds, certificates of deposit, real estate, or commodities to duplicate the tax-exempt rate of return provided by life insurance. (For this purpose, it is assumed that the death benefit is considered life insurance proceeds and as such not subject to federal or state income taxes.) The before-tax rate of return is determined by dividing the life insurance rate of return by the marginal tax bracket subtracted from 100 percent (for 15 percent, the factor is 0.85; for 25 percent, 0.75; for 28 percent, 0.72; for 33 percent, 0.67; and for 35 percent, 0.65). The result is shown in Figure 19.2.</w:t>
      </w:r>
    </w:p>
    <w:p w:rsidR="00CD44A4" w:rsidRPr="0005783B" w:rsidRDefault="00B4004F" w:rsidP="0005783B">
      <w:pPr>
        <w:pStyle w:val="Body"/>
        <w:rPr>
          <w:b/>
        </w:rPr>
      </w:pPr>
      <w:r>
        <w:rPr>
          <w:b/>
        </w:rPr>
        <w:t xml:space="preserve">Figure </w:t>
      </w:r>
      <w:bookmarkStart w:id="0" w:name="_GoBack"/>
      <w:bookmarkEnd w:id="0"/>
      <w:r w:rsidR="00CD44A4" w:rsidRPr="0005783B">
        <w:rPr>
          <w:b/>
        </w:rPr>
        <w:t>2</w:t>
      </w:r>
    </w:p>
    <w:tbl>
      <w:tblPr>
        <w:tblStyle w:val="NewStyle2014"/>
        <w:tblW w:w="9828" w:type="dxa"/>
        <w:tblLook w:val="01E0" w:firstRow="1" w:lastRow="1" w:firstColumn="1" w:lastColumn="1" w:noHBand="0" w:noVBand="0"/>
      </w:tblPr>
      <w:tblGrid>
        <w:gridCol w:w="1638"/>
        <w:gridCol w:w="1620"/>
        <w:gridCol w:w="1530"/>
        <w:gridCol w:w="1710"/>
        <w:gridCol w:w="1800"/>
        <w:gridCol w:w="1530"/>
      </w:tblGrid>
      <w:tr w:rsidR="00CD44A4" w:rsidRPr="001E3B34" w:rsidTr="0005783B">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638" w:type="dxa"/>
          </w:tcPr>
          <w:p w:rsidR="00CD44A4" w:rsidRPr="001E3B34" w:rsidRDefault="00CD44A4" w:rsidP="0005783B">
            <w:pPr>
              <w:pStyle w:val="TableHead1"/>
              <w:rPr>
                <w:i/>
              </w:rPr>
            </w:pPr>
            <w:r w:rsidRPr="001E3B34">
              <w:t>Year</w:t>
            </w:r>
          </w:p>
        </w:tc>
        <w:tc>
          <w:tcPr>
            <w:cnfStyle w:val="000010000000" w:firstRow="0" w:lastRow="0" w:firstColumn="0" w:lastColumn="0" w:oddVBand="1" w:evenVBand="0" w:oddHBand="0" w:evenHBand="0" w:firstRowFirstColumn="0" w:firstRowLastColumn="0" w:lastRowFirstColumn="0" w:lastRowLastColumn="0"/>
            <w:tcW w:w="1620" w:type="dxa"/>
          </w:tcPr>
          <w:p w:rsidR="00CD44A4" w:rsidRPr="001E3B34" w:rsidRDefault="00CD44A4" w:rsidP="0005783B">
            <w:pPr>
              <w:pStyle w:val="TableHead1"/>
            </w:pPr>
            <w:r w:rsidRPr="001E3B34">
              <w:t>15%</w:t>
            </w:r>
          </w:p>
          <w:p w:rsidR="00CD44A4" w:rsidRPr="001E3B34" w:rsidRDefault="00CD44A4" w:rsidP="0005783B">
            <w:pPr>
              <w:pStyle w:val="TableHead1"/>
            </w:pPr>
            <w:r w:rsidRPr="001E3B34">
              <w:t>taxpayer</w:t>
            </w:r>
          </w:p>
        </w:tc>
        <w:tc>
          <w:tcPr>
            <w:tcW w:w="1530" w:type="dxa"/>
          </w:tcPr>
          <w:p w:rsidR="00CD44A4" w:rsidRPr="001E3B34" w:rsidRDefault="00CD44A4" w:rsidP="0005783B">
            <w:pPr>
              <w:pStyle w:val="TableHead1"/>
              <w:cnfStyle w:val="100000000000" w:firstRow="1" w:lastRow="0" w:firstColumn="0" w:lastColumn="0" w:oddVBand="0" w:evenVBand="0" w:oddHBand="0" w:evenHBand="0" w:firstRowFirstColumn="0" w:firstRowLastColumn="0" w:lastRowFirstColumn="0" w:lastRowLastColumn="0"/>
            </w:pPr>
            <w:r w:rsidRPr="001E3B34">
              <w:t>25%</w:t>
            </w:r>
          </w:p>
          <w:p w:rsidR="00CD44A4" w:rsidRPr="001E3B34" w:rsidRDefault="00CD44A4" w:rsidP="0005783B">
            <w:pPr>
              <w:pStyle w:val="TableHead1"/>
              <w:cnfStyle w:val="100000000000" w:firstRow="1" w:lastRow="0" w:firstColumn="0" w:lastColumn="0" w:oddVBand="0" w:evenVBand="0" w:oddHBand="0" w:evenHBand="0" w:firstRowFirstColumn="0" w:firstRowLastColumn="0" w:lastRowFirstColumn="0" w:lastRowLastColumn="0"/>
            </w:pPr>
            <w:r w:rsidRPr="001E3B34">
              <w:t>taxpayer</w:t>
            </w:r>
          </w:p>
        </w:tc>
        <w:tc>
          <w:tcPr>
            <w:cnfStyle w:val="000010000000" w:firstRow="0" w:lastRow="0" w:firstColumn="0" w:lastColumn="0" w:oddVBand="1" w:evenVBand="0" w:oddHBand="0" w:evenHBand="0" w:firstRowFirstColumn="0" w:firstRowLastColumn="0" w:lastRowFirstColumn="0" w:lastRowLastColumn="0"/>
            <w:tcW w:w="1710" w:type="dxa"/>
          </w:tcPr>
          <w:p w:rsidR="00CD44A4" w:rsidRPr="001E3B34" w:rsidRDefault="00CD44A4" w:rsidP="0005783B">
            <w:pPr>
              <w:pStyle w:val="TableHead1"/>
            </w:pPr>
            <w:r w:rsidRPr="001E3B34">
              <w:t>28%</w:t>
            </w:r>
          </w:p>
          <w:p w:rsidR="00CD44A4" w:rsidRPr="001E3B34" w:rsidRDefault="00CD44A4" w:rsidP="0005783B">
            <w:pPr>
              <w:pStyle w:val="TableHead1"/>
            </w:pPr>
            <w:r w:rsidRPr="001E3B34">
              <w:t>taxpayer</w:t>
            </w:r>
          </w:p>
        </w:tc>
        <w:tc>
          <w:tcPr>
            <w:tcW w:w="1800" w:type="dxa"/>
          </w:tcPr>
          <w:p w:rsidR="00CD44A4" w:rsidRPr="001E3B34" w:rsidRDefault="00CD44A4" w:rsidP="0005783B">
            <w:pPr>
              <w:pStyle w:val="TableHead1"/>
              <w:cnfStyle w:val="100000000000" w:firstRow="1" w:lastRow="0" w:firstColumn="0" w:lastColumn="0" w:oddVBand="0" w:evenVBand="0" w:oddHBand="0" w:evenHBand="0" w:firstRowFirstColumn="0" w:firstRowLastColumn="0" w:lastRowFirstColumn="0" w:lastRowLastColumn="0"/>
            </w:pPr>
            <w:r w:rsidRPr="001E3B34">
              <w:t>33%</w:t>
            </w:r>
          </w:p>
          <w:p w:rsidR="00CD44A4" w:rsidRPr="001E3B34" w:rsidRDefault="00CD44A4" w:rsidP="0005783B">
            <w:pPr>
              <w:pStyle w:val="TableHead1"/>
              <w:cnfStyle w:val="100000000000" w:firstRow="1" w:lastRow="0" w:firstColumn="0" w:lastColumn="0" w:oddVBand="0" w:evenVBand="0" w:oddHBand="0" w:evenHBand="0" w:firstRowFirstColumn="0" w:firstRowLastColumn="0" w:lastRowFirstColumn="0" w:lastRowLastColumn="0"/>
            </w:pPr>
            <w:r w:rsidRPr="001E3B34">
              <w:t>taxpayer</w:t>
            </w:r>
          </w:p>
        </w:tc>
        <w:tc>
          <w:tcPr>
            <w:cnfStyle w:val="000010000000" w:firstRow="0" w:lastRow="0" w:firstColumn="0" w:lastColumn="0" w:oddVBand="1" w:evenVBand="0" w:oddHBand="0" w:evenHBand="0" w:firstRowFirstColumn="0" w:firstRowLastColumn="0" w:lastRowFirstColumn="0" w:lastRowLastColumn="0"/>
            <w:tcW w:w="1530" w:type="dxa"/>
          </w:tcPr>
          <w:p w:rsidR="00CD44A4" w:rsidRPr="001E3B34" w:rsidRDefault="00CD44A4" w:rsidP="0005783B">
            <w:pPr>
              <w:pStyle w:val="TableHead1"/>
            </w:pPr>
            <w:r w:rsidRPr="001E3B34">
              <w:t>35%</w:t>
            </w:r>
          </w:p>
          <w:p w:rsidR="00CD44A4" w:rsidRPr="001E3B34" w:rsidRDefault="00CD44A4" w:rsidP="0005783B">
            <w:pPr>
              <w:pStyle w:val="TableHead1"/>
            </w:pPr>
            <w:r w:rsidRPr="001E3B34">
              <w:t>taxpayer</w:t>
            </w:r>
          </w:p>
        </w:tc>
      </w:tr>
      <w:tr w:rsidR="00CD44A4" w:rsidRPr="00421B93" w:rsidTr="0005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CD44A4" w:rsidRPr="001E3B34" w:rsidRDefault="00CD44A4" w:rsidP="0005783B">
            <w:pPr>
              <w:pStyle w:val="TableBody"/>
              <w:jc w:val="center"/>
            </w:pPr>
            <w:r w:rsidRPr="001E3B34">
              <w:t>1</w:t>
            </w:r>
          </w:p>
        </w:tc>
        <w:tc>
          <w:tcPr>
            <w:cnfStyle w:val="000010000000" w:firstRow="0" w:lastRow="0" w:firstColumn="0" w:lastColumn="0" w:oddVBand="1" w:evenVBand="0" w:oddHBand="0" w:evenHBand="0" w:firstRowFirstColumn="0" w:firstRowLastColumn="0" w:lastRowFirstColumn="0" w:lastRowLastColumn="0"/>
            <w:tcW w:w="1620" w:type="dxa"/>
          </w:tcPr>
          <w:p w:rsidR="00CD44A4" w:rsidRPr="001E3B34" w:rsidRDefault="00CD44A4" w:rsidP="0005783B">
            <w:pPr>
              <w:pStyle w:val="TableBody"/>
              <w:jc w:val="center"/>
            </w:pPr>
            <w:r w:rsidRPr="001E3B34">
              <w:t>4,871.88%</w:t>
            </w:r>
          </w:p>
        </w:tc>
        <w:tc>
          <w:tcPr>
            <w:tcW w:w="1530" w:type="dxa"/>
          </w:tcPr>
          <w:p w:rsidR="00CD44A4" w:rsidRPr="001E3B34" w:rsidRDefault="00CD44A4" w:rsidP="0005783B">
            <w:pPr>
              <w:pStyle w:val="TableBody"/>
              <w:jc w:val="center"/>
              <w:cnfStyle w:val="000000100000" w:firstRow="0" w:lastRow="0" w:firstColumn="0" w:lastColumn="0" w:oddVBand="0" w:evenVBand="0" w:oddHBand="1" w:evenHBand="0" w:firstRowFirstColumn="0" w:firstRowLastColumn="0" w:lastRowFirstColumn="0" w:lastRowLastColumn="0"/>
            </w:pPr>
            <w:r w:rsidRPr="001E3B34">
              <w:t>5,521.47%</w:t>
            </w:r>
          </w:p>
        </w:tc>
        <w:tc>
          <w:tcPr>
            <w:cnfStyle w:val="000010000000" w:firstRow="0" w:lastRow="0" w:firstColumn="0" w:lastColumn="0" w:oddVBand="1" w:evenVBand="0" w:oddHBand="0" w:evenHBand="0" w:firstRowFirstColumn="0" w:firstRowLastColumn="0" w:lastRowFirstColumn="0" w:lastRowLastColumn="0"/>
            <w:tcW w:w="1710" w:type="dxa"/>
          </w:tcPr>
          <w:p w:rsidR="00CD44A4" w:rsidRPr="001E3B34" w:rsidRDefault="00CD44A4" w:rsidP="0005783B">
            <w:pPr>
              <w:pStyle w:val="TableBody"/>
              <w:jc w:val="center"/>
            </w:pPr>
            <w:r w:rsidRPr="001E3B34">
              <w:t>5,751.53%</w:t>
            </w:r>
          </w:p>
        </w:tc>
        <w:tc>
          <w:tcPr>
            <w:tcW w:w="1800" w:type="dxa"/>
          </w:tcPr>
          <w:p w:rsidR="00CD44A4" w:rsidRPr="001E3B34" w:rsidRDefault="00CD44A4" w:rsidP="0005783B">
            <w:pPr>
              <w:pStyle w:val="TableBody"/>
              <w:jc w:val="center"/>
              <w:cnfStyle w:val="000000100000" w:firstRow="0" w:lastRow="0" w:firstColumn="0" w:lastColumn="0" w:oddVBand="0" w:evenVBand="0" w:oddHBand="1" w:evenHBand="0" w:firstRowFirstColumn="0" w:firstRowLastColumn="0" w:lastRowFirstColumn="0" w:lastRowLastColumn="0"/>
            </w:pPr>
            <w:r w:rsidRPr="001E3B34">
              <w:t>6,180.75%</w:t>
            </w:r>
          </w:p>
        </w:tc>
        <w:tc>
          <w:tcPr>
            <w:cnfStyle w:val="000010000000" w:firstRow="0" w:lastRow="0" w:firstColumn="0" w:lastColumn="0" w:oddVBand="1" w:evenVBand="0" w:oddHBand="0" w:evenHBand="0" w:firstRowFirstColumn="0" w:firstRowLastColumn="0" w:lastRowFirstColumn="0" w:lastRowLastColumn="0"/>
            <w:tcW w:w="1530" w:type="dxa"/>
          </w:tcPr>
          <w:p w:rsidR="00CD44A4" w:rsidRPr="001E3B34" w:rsidRDefault="00CD44A4" w:rsidP="0005783B">
            <w:pPr>
              <w:pStyle w:val="TableBody"/>
              <w:jc w:val="center"/>
            </w:pPr>
            <w:r w:rsidRPr="001E3B34">
              <w:t>6,370.92%</w:t>
            </w:r>
          </w:p>
        </w:tc>
      </w:tr>
      <w:tr w:rsidR="00CD44A4" w:rsidRPr="00421B93" w:rsidTr="00057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CD44A4" w:rsidRPr="001E3B34" w:rsidRDefault="00CD44A4" w:rsidP="0005783B">
            <w:pPr>
              <w:pStyle w:val="TableBody"/>
              <w:jc w:val="center"/>
            </w:pPr>
            <w:r w:rsidRPr="001E3B34">
              <w:t>5</w:t>
            </w:r>
          </w:p>
        </w:tc>
        <w:tc>
          <w:tcPr>
            <w:cnfStyle w:val="000010000000" w:firstRow="0" w:lastRow="0" w:firstColumn="0" w:lastColumn="0" w:oddVBand="1" w:evenVBand="0" w:oddHBand="0" w:evenHBand="0" w:firstRowFirstColumn="0" w:firstRowLastColumn="0" w:lastRowFirstColumn="0" w:lastRowLastColumn="0"/>
            <w:tcW w:w="1620" w:type="dxa"/>
          </w:tcPr>
          <w:p w:rsidR="00CD44A4" w:rsidRPr="001E3B34" w:rsidRDefault="00CD44A4" w:rsidP="0005783B">
            <w:pPr>
              <w:pStyle w:val="TableBody"/>
              <w:jc w:val="center"/>
            </w:pPr>
            <w:r w:rsidRPr="001E3B34">
              <w:t>102.28</w:t>
            </w:r>
          </w:p>
        </w:tc>
        <w:tc>
          <w:tcPr>
            <w:tcW w:w="1530" w:type="dxa"/>
          </w:tcPr>
          <w:p w:rsidR="00CD44A4" w:rsidRPr="001E3B34" w:rsidRDefault="00CD44A4" w:rsidP="0005783B">
            <w:pPr>
              <w:pStyle w:val="TableBody"/>
              <w:jc w:val="center"/>
              <w:cnfStyle w:val="000000010000" w:firstRow="0" w:lastRow="0" w:firstColumn="0" w:lastColumn="0" w:oddVBand="0" w:evenVBand="0" w:oddHBand="0" w:evenHBand="1" w:firstRowFirstColumn="0" w:firstRowLastColumn="0" w:lastRowFirstColumn="0" w:lastRowLastColumn="0"/>
            </w:pPr>
            <w:r w:rsidRPr="001E3B34">
              <w:t>115.92</w:t>
            </w:r>
          </w:p>
        </w:tc>
        <w:tc>
          <w:tcPr>
            <w:cnfStyle w:val="000010000000" w:firstRow="0" w:lastRow="0" w:firstColumn="0" w:lastColumn="0" w:oddVBand="1" w:evenVBand="0" w:oddHBand="0" w:evenHBand="0" w:firstRowFirstColumn="0" w:firstRowLastColumn="0" w:lastRowFirstColumn="0" w:lastRowLastColumn="0"/>
            <w:tcW w:w="1710" w:type="dxa"/>
          </w:tcPr>
          <w:p w:rsidR="00CD44A4" w:rsidRPr="001E3B34" w:rsidRDefault="00CD44A4" w:rsidP="0005783B">
            <w:pPr>
              <w:pStyle w:val="TableBody"/>
              <w:jc w:val="center"/>
            </w:pPr>
            <w:r w:rsidRPr="001E3B34">
              <w:t>120.75</w:t>
            </w:r>
          </w:p>
        </w:tc>
        <w:tc>
          <w:tcPr>
            <w:tcW w:w="1800" w:type="dxa"/>
          </w:tcPr>
          <w:p w:rsidR="00CD44A4" w:rsidRPr="001E3B34" w:rsidRDefault="00CD44A4" w:rsidP="0005783B">
            <w:pPr>
              <w:pStyle w:val="TableBody"/>
              <w:jc w:val="center"/>
              <w:cnfStyle w:val="000000010000" w:firstRow="0" w:lastRow="0" w:firstColumn="0" w:lastColumn="0" w:oddVBand="0" w:evenVBand="0" w:oddHBand="0" w:evenHBand="1" w:firstRowFirstColumn="0" w:firstRowLastColumn="0" w:lastRowFirstColumn="0" w:lastRowLastColumn="0"/>
            </w:pPr>
            <w:r w:rsidRPr="001E3B34">
              <w:t>129.76</w:t>
            </w:r>
          </w:p>
        </w:tc>
        <w:tc>
          <w:tcPr>
            <w:cnfStyle w:val="000010000000" w:firstRow="0" w:lastRow="0" w:firstColumn="0" w:lastColumn="0" w:oddVBand="1" w:evenVBand="0" w:oddHBand="0" w:evenHBand="0" w:firstRowFirstColumn="0" w:firstRowLastColumn="0" w:lastRowFirstColumn="0" w:lastRowLastColumn="0"/>
            <w:tcW w:w="1530" w:type="dxa"/>
          </w:tcPr>
          <w:p w:rsidR="00CD44A4" w:rsidRPr="001E3B34" w:rsidRDefault="00CD44A4" w:rsidP="0005783B">
            <w:pPr>
              <w:pStyle w:val="TableBody"/>
              <w:jc w:val="center"/>
            </w:pPr>
            <w:r w:rsidRPr="001E3B34">
              <w:t>133.75</w:t>
            </w:r>
          </w:p>
        </w:tc>
      </w:tr>
      <w:tr w:rsidR="00CD44A4" w:rsidRPr="00421B93" w:rsidTr="00057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CD44A4" w:rsidRPr="001E3B34" w:rsidRDefault="00CD44A4" w:rsidP="0005783B">
            <w:pPr>
              <w:pStyle w:val="TableBody"/>
              <w:jc w:val="center"/>
            </w:pPr>
            <w:r w:rsidRPr="001E3B34">
              <w:t>10</w:t>
            </w:r>
          </w:p>
        </w:tc>
        <w:tc>
          <w:tcPr>
            <w:cnfStyle w:val="000010000000" w:firstRow="0" w:lastRow="0" w:firstColumn="0" w:lastColumn="0" w:oddVBand="1" w:evenVBand="0" w:oddHBand="0" w:evenHBand="0" w:firstRowFirstColumn="0" w:firstRowLastColumn="0" w:lastRowFirstColumn="0" w:lastRowLastColumn="0"/>
            <w:tcW w:w="1620" w:type="dxa"/>
          </w:tcPr>
          <w:p w:rsidR="00CD44A4" w:rsidRPr="001E3B34" w:rsidRDefault="00CD44A4" w:rsidP="0005783B">
            <w:pPr>
              <w:pStyle w:val="TableBody"/>
              <w:jc w:val="center"/>
            </w:pPr>
            <w:r w:rsidRPr="001E3B34">
              <w:t>36.25</w:t>
            </w:r>
          </w:p>
        </w:tc>
        <w:tc>
          <w:tcPr>
            <w:tcW w:w="1530" w:type="dxa"/>
          </w:tcPr>
          <w:p w:rsidR="00CD44A4" w:rsidRPr="001E3B34" w:rsidRDefault="00CD44A4" w:rsidP="0005783B">
            <w:pPr>
              <w:pStyle w:val="TableBody"/>
              <w:jc w:val="center"/>
              <w:cnfStyle w:val="000000100000" w:firstRow="0" w:lastRow="0" w:firstColumn="0" w:lastColumn="0" w:oddVBand="0" w:evenVBand="0" w:oddHBand="1" w:evenHBand="0" w:firstRowFirstColumn="0" w:firstRowLastColumn="0" w:lastRowFirstColumn="0" w:lastRowLastColumn="0"/>
            </w:pPr>
            <w:r w:rsidRPr="001E3B34">
              <w:t>41.08</w:t>
            </w:r>
          </w:p>
        </w:tc>
        <w:tc>
          <w:tcPr>
            <w:cnfStyle w:val="000010000000" w:firstRow="0" w:lastRow="0" w:firstColumn="0" w:lastColumn="0" w:oddVBand="1" w:evenVBand="0" w:oddHBand="0" w:evenHBand="0" w:firstRowFirstColumn="0" w:firstRowLastColumn="0" w:lastRowFirstColumn="0" w:lastRowLastColumn="0"/>
            <w:tcW w:w="1710" w:type="dxa"/>
          </w:tcPr>
          <w:p w:rsidR="00CD44A4" w:rsidRPr="001E3B34" w:rsidRDefault="00CD44A4" w:rsidP="0005783B">
            <w:pPr>
              <w:pStyle w:val="TableBody"/>
              <w:jc w:val="center"/>
            </w:pPr>
            <w:r w:rsidRPr="001E3B34">
              <w:t>42.79</w:t>
            </w:r>
          </w:p>
        </w:tc>
        <w:tc>
          <w:tcPr>
            <w:tcW w:w="1800" w:type="dxa"/>
          </w:tcPr>
          <w:p w:rsidR="00CD44A4" w:rsidRPr="001E3B34" w:rsidRDefault="00CD44A4" w:rsidP="0005783B">
            <w:pPr>
              <w:pStyle w:val="TableBody"/>
              <w:jc w:val="center"/>
              <w:cnfStyle w:val="000000100000" w:firstRow="0" w:lastRow="0" w:firstColumn="0" w:lastColumn="0" w:oddVBand="0" w:evenVBand="0" w:oddHBand="1" w:evenHBand="0" w:firstRowFirstColumn="0" w:firstRowLastColumn="0" w:lastRowFirstColumn="0" w:lastRowLastColumn="0"/>
            </w:pPr>
            <w:r w:rsidRPr="001E3B34">
              <w:t>45.99</w:t>
            </w:r>
          </w:p>
        </w:tc>
        <w:tc>
          <w:tcPr>
            <w:cnfStyle w:val="000010000000" w:firstRow="0" w:lastRow="0" w:firstColumn="0" w:lastColumn="0" w:oddVBand="1" w:evenVBand="0" w:oddHBand="0" w:evenHBand="0" w:firstRowFirstColumn="0" w:firstRowLastColumn="0" w:lastRowFirstColumn="0" w:lastRowLastColumn="0"/>
            <w:tcW w:w="1530" w:type="dxa"/>
          </w:tcPr>
          <w:p w:rsidR="00CD44A4" w:rsidRPr="001E3B34" w:rsidRDefault="00CD44A4" w:rsidP="0005783B">
            <w:pPr>
              <w:pStyle w:val="TableBody"/>
              <w:jc w:val="center"/>
            </w:pPr>
            <w:r w:rsidRPr="001E3B34">
              <w:t>47.40</w:t>
            </w:r>
          </w:p>
        </w:tc>
      </w:tr>
      <w:tr w:rsidR="00CD44A4" w:rsidRPr="00421B93" w:rsidTr="000578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CD44A4" w:rsidRPr="001E3B34" w:rsidRDefault="00CD44A4" w:rsidP="0005783B">
            <w:pPr>
              <w:pStyle w:val="TableBody"/>
              <w:jc w:val="center"/>
            </w:pPr>
            <w:r w:rsidRPr="001E3B34">
              <w:t>20</w:t>
            </w:r>
          </w:p>
        </w:tc>
        <w:tc>
          <w:tcPr>
            <w:cnfStyle w:val="000010000000" w:firstRow="0" w:lastRow="0" w:firstColumn="0" w:lastColumn="0" w:oddVBand="1" w:evenVBand="0" w:oddHBand="0" w:evenHBand="0" w:firstRowFirstColumn="0" w:firstRowLastColumn="0" w:lastRowFirstColumn="0" w:lastRowLastColumn="0"/>
            <w:tcW w:w="1620" w:type="dxa"/>
          </w:tcPr>
          <w:p w:rsidR="00CD44A4" w:rsidRPr="001E3B34" w:rsidRDefault="00CD44A4" w:rsidP="0005783B">
            <w:pPr>
              <w:pStyle w:val="TableBody"/>
              <w:jc w:val="center"/>
            </w:pPr>
            <w:r w:rsidRPr="001E3B34">
              <w:t>16.76</w:t>
            </w:r>
          </w:p>
        </w:tc>
        <w:tc>
          <w:tcPr>
            <w:tcW w:w="1530" w:type="dxa"/>
          </w:tcPr>
          <w:p w:rsidR="00CD44A4" w:rsidRPr="001E3B34" w:rsidRDefault="00CD44A4" w:rsidP="0005783B">
            <w:pPr>
              <w:pStyle w:val="TableBody"/>
              <w:jc w:val="center"/>
              <w:cnfStyle w:val="010000000000" w:firstRow="0" w:lastRow="1" w:firstColumn="0" w:lastColumn="0" w:oddVBand="0" w:evenVBand="0" w:oddHBand="0" w:evenHBand="0" w:firstRowFirstColumn="0" w:firstRowLastColumn="0" w:lastRowFirstColumn="0" w:lastRowLastColumn="0"/>
            </w:pPr>
            <w:r w:rsidRPr="001E3B34">
              <w:t>19.00</w:t>
            </w:r>
          </w:p>
        </w:tc>
        <w:tc>
          <w:tcPr>
            <w:cnfStyle w:val="000010000000" w:firstRow="0" w:lastRow="0" w:firstColumn="0" w:lastColumn="0" w:oddVBand="1" w:evenVBand="0" w:oddHBand="0" w:evenHBand="0" w:firstRowFirstColumn="0" w:firstRowLastColumn="0" w:lastRowFirstColumn="0" w:lastRowLastColumn="0"/>
            <w:tcW w:w="1710" w:type="dxa"/>
          </w:tcPr>
          <w:p w:rsidR="00CD44A4" w:rsidRPr="001E3B34" w:rsidRDefault="00CD44A4" w:rsidP="0005783B">
            <w:pPr>
              <w:pStyle w:val="TableBody"/>
              <w:jc w:val="center"/>
            </w:pPr>
            <w:r w:rsidRPr="001E3B34">
              <w:t>19.79</w:t>
            </w:r>
          </w:p>
        </w:tc>
        <w:tc>
          <w:tcPr>
            <w:tcW w:w="1800" w:type="dxa"/>
          </w:tcPr>
          <w:p w:rsidR="00CD44A4" w:rsidRPr="001E3B34" w:rsidRDefault="00CD44A4" w:rsidP="0005783B">
            <w:pPr>
              <w:pStyle w:val="TableBody"/>
              <w:jc w:val="center"/>
              <w:cnfStyle w:val="010000000000" w:firstRow="0" w:lastRow="1" w:firstColumn="0" w:lastColumn="0" w:oddVBand="0" w:evenVBand="0" w:oddHBand="0" w:evenHBand="0" w:firstRowFirstColumn="0" w:firstRowLastColumn="0" w:lastRowFirstColumn="0" w:lastRowLastColumn="0"/>
            </w:pPr>
            <w:r w:rsidRPr="001E3B34">
              <w:t>21.27</w:t>
            </w:r>
          </w:p>
        </w:tc>
        <w:tc>
          <w:tcPr>
            <w:cnfStyle w:val="000010000000" w:firstRow="0" w:lastRow="0" w:firstColumn="0" w:lastColumn="0" w:oddVBand="1" w:evenVBand="0" w:oddHBand="0" w:evenHBand="0" w:firstRowFirstColumn="0" w:firstRowLastColumn="0" w:lastRowFirstColumn="0" w:lastRowLastColumn="0"/>
            <w:tcW w:w="1530" w:type="dxa"/>
          </w:tcPr>
          <w:p w:rsidR="00CD44A4" w:rsidRPr="001E3B34" w:rsidRDefault="00CD44A4" w:rsidP="0005783B">
            <w:pPr>
              <w:pStyle w:val="TableBody"/>
              <w:jc w:val="center"/>
            </w:pPr>
            <w:r w:rsidRPr="001E3B34">
              <w:t>21.92</w:t>
            </w:r>
          </w:p>
        </w:tc>
      </w:tr>
    </w:tbl>
    <w:p w:rsidR="00F701AA" w:rsidRDefault="00F701AA" w:rsidP="00F701AA">
      <w:pPr>
        <w:pStyle w:val="Body"/>
      </w:pPr>
      <w:r>
        <w:br w:type="page"/>
      </w:r>
    </w:p>
    <w:p w:rsidR="00F701AA" w:rsidRDefault="00F701AA" w:rsidP="00F701AA">
      <w:pPr>
        <w:pStyle w:val="Title2"/>
      </w:pPr>
      <w:r>
        <w:lastRenderedPageBreak/>
        <w:t>Variable and Variable Universal Life</w:t>
      </w:r>
    </w:p>
    <w:p w:rsidR="00CD44A4" w:rsidRPr="00E8192D" w:rsidRDefault="00CD44A4" w:rsidP="00E8192D">
      <w:pPr>
        <w:pStyle w:val="ListBullet"/>
        <w:ind w:left="360" w:hanging="360"/>
        <w:rPr>
          <w:rFonts w:eastAsia="Arial Unicode MS"/>
        </w:rPr>
      </w:pPr>
      <w:r w:rsidRPr="00E8192D">
        <w:rPr>
          <w:rFonts w:eastAsia="Arial Unicode MS"/>
        </w:rPr>
        <w:t>The rate of return upon surrender should also be provided. When the rate of return upon surrender is positive, it means that taxes are due. Taxes are due on the difference between the cash surrender value and the premiums paid. The result before taxes is as follows:</w:t>
      </w:r>
    </w:p>
    <w:tbl>
      <w:tblPr>
        <w:tblStyle w:val="NewStyle2014"/>
        <w:tblW w:w="0" w:type="auto"/>
        <w:tblLook w:val="01E0" w:firstRow="1" w:lastRow="1" w:firstColumn="1" w:lastColumn="1" w:noHBand="0" w:noVBand="0"/>
      </w:tblPr>
      <w:tblGrid>
        <w:gridCol w:w="2088"/>
        <w:gridCol w:w="2124"/>
      </w:tblGrid>
      <w:tr w:rsidR="00CD44A4" w:rsidRPr="001E3B34" w:rsidTr="00F70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CD44A4" w:rsidRPr="001E3B34" w:rsidRDefault="00CD44A4" w:rsidP="00F701AA">
            <w:pPr>
              <w:pStyle w:val="TableHead1"/>
              <w:spacing w:line="264" w:lineRule="auto"/>
            </w:pPr>
            <w:r w:rsidRPr="001E3B34">
              <w:t>Year</w:t>
            </w:r>
          </w:p>
        </w:tc>
        <w:tc>
          <w:tcPr>
            <w:cnfStyle w:val="000010000000" w:firstRow="0" w:lastRow="0" w:firstColumn="0" w:lastColumn="0" w:oddVBand="1" w:evenVBand="0" w:oddHBand="0" w:evenHBand="0" w:firstRowFirstColumn="0" w:firstRowLastColumn="0" w:lastRowFirstColumn="0" w:lastRowLastColumn="0"/>
            <w:tcW w:w="2124" w:type="dxa"/>
          </w:tcPr>
          <w:p w:rsidR="00CD44A4" w:rsidRPr="001E3B34" w:rsidRDefault="00CD44A4" w:rsidP="00F701AA">
            <w:pPr>
              <w:pStyle w:val="TableHead1"/>
              <w:spacing w:line="264" w:lineRule="auto"/>
            </w:pPr>
            <w:r w:rsidRPr="001E3B34">
              <w:t>Rate of return</w:t>
            </w:r>
          </w:p>
        </w:tc>
      </w:tr>
      <w:tr w:rsidR="00CD44A4" w:rsidRPr="001E3B34" w:rsidTr="00F7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CD44A4" w:rsidRPr="001E3B34" w:rsidRDefault="00CD44A4" w:rsidP="00F701AA">
            <w:pPr>
              <w:pStyle w:val="TableBody"/>
              <w:spacing w:line="264" w:lineRule="auto"/>
              <w:jc w:val="center"/>
              <w:rPr>
                <w:rFonts w:eastAsia="MS Mincho"/>
              </w:rPr>
            </w:pPr>
            <w:r w:rsidRPr="001E3B34">
              <w:rPr>
                <w:rFonts w:eastAsia="MS Mincho"/>
              </w:rPr>
              <w:t>1</w:t>
            </w:r>
          </w:p>
        </w:tc>
        <w:tc>
          <w:tcPr>
            <w:cnfStyle w:val="000010000000" w:firstRow="0" w:lastRow="0" w:firstColumn="0" w:lastColumn="0" w:oddVBand="1" w:evenVBand="0" w:oddHBand="0" w:evenHBand="0" w:firstRowFirstColumn="0" w:firstRowLastColumn="0" w:lastRowFirstColumn="0" w:lastRowLastColumn="0"/>
            <w:tcW w:w="2124" w:type="dxa"/>
          </w:tcPr>
          <w:p w:rsidR="00CD44A4" w:rsidRPr="001E3B34" w:rsidRDefault="00CD44A4" w:rsidP="00F701AA">
            <w:pPr>
              <w:pStyle w:val="TableBody"/>
              <w:spacing w:line="264" w:lineRule="auto"/>
              <w:jc w:val="center"/>
              <w:rPr>
                <w:rFonts w:eastAsia="MS Mincho"/>
              </w:rPr>
            </w:pPr>
            <w:r w:rsidRPr="001E3B34">
              <w:rPr>
                <w:rFonts w:eastAsia="MS Mincho"/>
              </w:rPr>
              <w:t>-49.67%</w:t>
            </w:r>
          </w:p>
        </w:tc>
      </w:tr>
      <w:tr w:rsidR="00CD44A4" w:rsidRPr="001E3B34" w:rsidTr="00F701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CD44A4" w:rsidRPr="001E3B34" w:rsidRDefault="00CD44A4" w:rsidP="00F701AA">
            <w:pPr>
              <w:pStyle w:val="TableBody"/>
              <w:spacing w:line="264" w:lineRule="auto"/>
              <w:jc w:val="center"/>
              <w:rPr>
                <w:rFonts w:eastAsia="MS Mincho"/>
              </w:rPr>
            </w:pPr>
            <w:r w:rsidRPr="001E3B34">
              <w:rPr>
                <w:rFonts w:eastAsia="MS Mincho"/>
              </w:rPr>
              <w:t>5</w:t>
            </w:r>
          </w:p>
        </w:tc>
        <w:tc>
          <w:tcPr>
            <w:cnfStyle w:val="000010000000" w:firstRow="0" w:lastRow="0" w:firstColumn="0" w:lastColumn="0" w:oddVBand="1" w:evenVBand="0" w:oddHBand="0" w:evenHBand="0" w:firstRowFirstColumn="0" w:firstRowLastColumn="0" w:lastRowFirstColumn="0" w:lastRowLastColumn="0"/>
            <w:tcW w:w="2124" w:type="dxa"/>
          </w:tcPr>
          <w:p w:rsidR="00CD44A4" w:rsidRPr="001E3B34" w:rsidRDefault="00CD44A4" w:rsidP="00F701AA">
            <w:pPr>
              <w:pStyle w:val="TableBody"/>
              <w:spacing w:line="264" w:lineRule="auto"/>
              <w:jc w:val="center"/>
              <w:rPr>
                <w:rFonts w:eastAsia="MS Mincho"/>
              </w:rPr>
            </w:pPr>
            <w:r w:rsidRPr="001E3B34">
              <w:rPr>
                <w:rFonts w:eastAsia="MS Mincho"/>
              </w:rPr>
              <w:t>1.64</w:t>
            </w:r>
          </w:p>
        </w:tc>
      </w:tr>
      <w:tr w:rsidR="00CD44A4" w:rsidRPr="001E3B34" w:rsidTr="00F70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CD44A4" w:rsidRPr="001E3B34" w:rsidRDefault="00CD44A4" w:rsidP="00F701AA">
            <w:pPr>
              <w:pStyle w:val="TableBody"/>
              <w:spacing w:line="264" w:lineRule="auto"/>
              <w:jc w:val="center"/>
              <w:rPr>
                <w:rFonts w:eastAsia="MS Mincho"/>
              </w:rPr>
            </w:pPr>
            <w:r w:rsidRPr="001E3B34">
              <w:rPr>
                <w:rFonts w:eastAsia="MS Mincho"/>
              </w:rPr>
              <w:t>10</w:t>
            </w:r>
          </w:p>
        </w:tc>
        <w:tc>
          <w:tcPr>
            <w:cnfStyle w:val="000010000000" w:firstRow="0" w:lastRow="0" w:firstColumn="0" w:lastColumn="0" w:oddVBand="1" w:evenVBand="0" w:oddHBand="0" w:evenHBand="0" w:firstRowFirstColumn="0" w:firstRowLastColumn="0" w:lastRowFirstColumn="0" w:lastRowLastColumn="0"/>
            <w:tcW w:w="2124" w:type="dxa"/>
          </w:tcPr>
          <w:p w:rsidR="00CD44A4" w:rsidRPr="001E3B34" w:rsidRDefault="00CD44A4" w:rsidP="00F701AA">
            <w:pPr>
              <w:pStyle w:val="TableBody"/>
              <w:spacing w:line="264" w:lineRule="auto"/>
              <w:jc w:val="center"/>
              <w:rPr>
                <w:rFonts w:eastAsia="MS Mincho"/>
              </w:rPr>
            </w:pPr>
            <w:r w:rsidRPr="001E3B34">
              <w:rPr>
                <w:rFonts w:eastAsia="MS Mincho"/>
              </w:rPr>
              <w:t>7.05</w:t>
            </w:r>
          </w:p>
        </w:tc>
      </w:tr>
      <w:tr w:rsidR="00CD44A4" w:rsidRPr="001E3B34" w:rsidTr="00F701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CD44A4" w:rsidRPr="001E3B34" w:rsidRDefault="00CD44A4" w:rsidP="00F701AA">
            <w:pPr>
              <w:pStyle w:val="TableBody"/>
              <w:spacing w:before="100" w:after="100" w:line="264" w:lineRule="auto"/>
              <w:jc w:val="center"/>
              <w:rPr>
                <w:rFonts w:eastAsia="MS Mincho"/>
              </w:rPr>
            </w:pPr>
            <w:r w:rsidRPr="001E3B34">
              <w:rPr>
                <w:rFonts w:eastAsia="MS Mincho"/>
              </w:rPr>
              <w:t>20</w:t>
            </w:r>
          </w:p>
        </w:tc>
        <w:tc>
          <w:tcPr>
            <w:cnfStyle w:val="000010000000" w:firstRow="0" w:lastRow="0" w:firstColumn="0" w:lastColumn="0" w:oddVBand="1" w:evenVBand="0" w:oddHBand="0" w:evenHBand="0" w:firstRowFirstColumn="0" w:firstRowLastColumn="0" w:lastRowFirstColumn="0" w:lastRowLastColumn="0"/>
            <w:tcW w:w="2124" w:type="dxa"/>
          </w:tcPr>
          <w:p w:rsidR="00CD44A4" w:rsidRPr="001E3B34" w:rsidRDefault="00CD44A4" w:rsidP="00F701AA">
            <w:pPr>
              <w:pStyle w:val="TableBody"/>
              <w:spacing w:line="264" w:lineRule="auto"/>
              <w:jc w:val="center"/>
              <w:rPr>
                <w:rFonts w:eastAsia="MS Mincho"/>
              </w:rPr>
            </w:pPr>
            <w:r w:rsidRPr="001E3B34">
              <w:rPr>
                <w:rFonts w:eastAsia="MS Mincho"/>
              </w:rPr>
              <w:t>8.95</w:t>
            </w:r>
          </w:p>
        </w:tc>
      </w:tr>
    </w:tbl>
    <w:p w:rsidR="00CD44A4" w:rsidRPr="00E8192D" w:rsidRDefault="00CD44A4" w:rsidP="00E8192D">
      <w:pPr>
        <w:pStyle w:val="ListBullet"/>
        <w:ind w:left="360" w:hanging="360"/>
        <w:rPr>
          <w:rFonts w:eastAsia="Arial Unicode MS"/>
        </w:rPr>
      </w:pPr>
      <w:r w:rsidRPr="00E8192D">
        <w:rPr>
          <w:rFonts w:eastAsia="Arial Unicode MS"/>
        </w:rPr>
        <w:t>The above rates of return are based on a 12% interest assumption separate investment account performance. The rate of return upon surrender even before taxes never equals the separate investment account investment performance of 12 percent.</w:t>
      </w:r>
    </w:p>
    <w:p w:rsidR="00CD44A4" w:rsidRPr="00E8192D" w:rsidRDefault="00CD44A4" w:rsidP="00E8192D">
      <w:pPr>
        <w:pStyle w:val="ListBullet"/>
        <w:ind w:left="360" w:hanging="360"/>
        <w:rPr>
          <w:rFonts w:eastAsia="Arial Unicode MS"/>
        </w:rPr>
      </w:pPr>
      <w:r w:rsidRPr="00E8192D">
        <w:rPr>
          <w:rFonts w:eastAsia="Arial Unicode MS"/>
        </w:rPr>
        <w:t>The Premiums Accumulated at 5 percent column on the ledger statement replaces the Interest Adjusted Index. This is what your money would be worth at 5 percent net after taxes if not used to purchase life insurance. In order to net 5 percent after taxes, the before-tax rates of return in the following tax brackets are:</w:t>
      </w:r>
    </w:p>
    <w:tbl>
      <w:tblPr>
        <w:tblStyle w:val="NewStyle2014"/>
        <w:tblW w:w="0" w:type="auto"/>
        <w:tblLook w:val="01E0" w:firstRow="1" w:lastRow="1" w:firstColumn="1" w:lastColumn="1" w:noHBand="0" w:noVBand="0"/>
      </w:tblPr>
      <w:tblGrid>
        <w:gridCol w:w="1321"/>
        <w:gridCol w:w="1260"/>
        <w:gridCol w:w="1260"/>
        <w:gridCol w:w="1440"/>
        <w:gridCol w:w="1368"/>
      </w:tblGrid>
      <w:tr w:rsidR="00CD44A4" w:rsidRPr="001E3B34" w:rsidTr="00F701A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1" w:type="dxa"/>
          </w:tcPr>
          <w:p w:rsidR="00CD44A4" w:rsidRPr="001E3B34" w:rsidRDefault="00CD44A4" w:rsidP="00F701AA">
            <w:pPr>
              <w:pStyle w:val="TableHead1"/>
              <w:spacing w:line="264" w:lineRule="auto"/>
            </w:pPr>
            <w:r w:rsidRPr="001E3B34">
              <w:t>15%</w:t>
            </w:r>
          </w:p>
          <w:p w:rsidR="00CD44A4" w:rsidRPr="001E3B34" w:rsidRDefault="00CD44A4" w:rsidP="00F701AA">
            <w:pPr>
              <w:pStyle w:val="TableHead1"/>
              <w:spacing w:line="264" w:lineRule="auto"/>
            </w:pPr>
            <w:r w:rsidRPr="001E3B34">
              <w:t>taxpayer</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F701AA">
            <w:pPr>
              <w:pStyle w:val="TableHead1"/>
              <w:spacing w:line="264" w:lineRule="auto"/>
            </w:pPr>
            <w:r w:rsidRPr="001E3B34">
              <w:t>25%</w:t>
            </w:r>
          </w:p>
          <w:p w:rsidR="00CD44A4" w:rsidRPr="001E3B34" w:rsidRDefault="00CD44A4" w:rsidP="00F701AA">
            <w:pPr>
              <w:pStyle w:val="TableHead1"/>
              <w:spacing w:line="264" w:lineRule="auto"/>
            </w:pPr>
            <w:r w:rsidRPr="001E3B34">
              <w:t>taxpayer</w:t>
            </w:r>
          </w:p>
        </w:tc>
        <w:tc>
          <w:tcPr>
            <w:tcW w:w="1260" w:type="dxa"/>
          </w:tcPr>
          <w:p w:rsidR="00CD44A4" w:rsidRPr="001E3B34" w:rsidRDefault="00CD44A4" w:rsidP="00F701AA">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1E3B34">
              <w:t>28%</w:t>
            </w:r>
          </w:p>
          <w:p w:rsidR="00CD44A4" w:rsidRPr="001E3B34" w:rsidRDefault="00CD44A4" w:rsidP="00F701AA">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1E3B34">
              <w:t>taxpayer</w:t>
            </w:r>
          </w:p>
        </w:tc>
        <w:tc>
          <w:tcPr>
            <w:cnfStyle w:val="000010000000" w:firstRow="0" w:lastRow="0" w:firstColumn="0" w:lastColumn="0" w:oddVBand="1" w:evenVBand="0" w:oddHBand="0" w:evenHBand="0" w:firstRowFirstColumn="0" w:firstRowLastColumn="0" w:lastRowFirstColumn="0" w:lastRowLastColumn="0"/>
            <w:tcW w:w="1440" w:type="dxa"/>
          </w:tcPr>
          <w:p w:rsidR="00CD44A4" w:rsidRPr="001E3B34" w:rsidRDefault="00CD44A4" w:rsidP="00F701AA">
            <w:pPr>
              <w:pStyle w:val="TableHead1"/>
              <w:spacing w:line="264" w:lineRule="auto"/>
            </w:pPr>
            <w:r w:rsidRPr="001E3B34">
              <w:t>33%</w:t>
            </w:r>
          </w:p>
          <w:p w:rsidR="00CD44A4" w:rsidRPr="001E3B34" w:rsidRDefault="00CD44A4" w:rsidP="00F701AA">
            <w:pPr>
              <w:pStyle w:val="TableHead1"/>
              <w:spacing w:line="264" w:lineRule="auto"/>
            </w:pPr>
            <w:r w:rsidRPr="001E3B34">
              <w:t>taxpayer</w:t>
            </w:r>
          </w:p>
        </w:tc>
        <w:tc>
          <w:tcPr>
            <w:tcW w:w="1368" w:type="dxa"/>
          </w:tcPr>
          <w:p w:rsidR="00CD44A4" w:rsidRPr="001E3B34" w:rsidRDefault="00CD44A4" w:rsidP="00F701AA">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1E3B34">
              <w:t>35%</w:t>
            </w:r>
          </w:p>
          <w:p w:rsidR="00CD44A4" w:rsidRPr="001E3B34" w:rsidRDefault="00CD44A4" w:rsidP="00F701AA">
            <w:pPr>
              <w:pStyle w:val="TableHead1"/>
              <w:spacing w:line="264" w:lineRule="auto"/>
              <w:cnfStyle w:val="100000000000" w:firstRow="1" w:lastRow="0" w:firstColumn="0" w:lastColumn="0" w:oddVBand="0" w:evenVBand="0" w:oddHBand="0" w:evenHBand="0" w:firstRowFirstColumn="0" w:firstRowLastColumn="0" w:lastRowFirstColumn="0" w:lastRowLastColumn="0"/>
            </w:pPr>
            <w:r w:rsidRPr="001E3B34">
              <w:t>taxpayer</w:t>
            </w:r>
          </w:p>
        </w:tc>
      </w:tr>
      <w:tr w:rsidR="00CD44A4" w:rsidRPr="001E3B34" w:rsidTr="00F701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tcPr>
          <w:p w:rsidR="00CD44A4" w:rsidRPr="001E3B34" w:rsidRDefault="00CD44A4" w:rsidP="00F701AA">
            <w:pPr>
              <w:pStyle w:val="TableBody"/>
              <w:spacing w:before="100" w:after="100" w:line="264" w:lineRule="auto"/>
              <w:jc w:val="center"/>
              <w:rPr>
                <w:rFonts w:eastAsia="MS Mincho"/>
              </w:rPr>
            </w:pPr>
            <w:r w:rsidRPr="001E3B34">
              <w:rPr>
                <w:rFonts w:eastAsia="MS Mincho"/>
              </w:rPr>
              <w:t>5.88%</w:t>
            </w:r>
          </w:p>
        </w:tc>
        <w:tc>
          <w:tcPr>
            <w:cnfStyle w:val="000010000000" w:firstRow="0" w:lastRow="0" w:firstColumn="0" w:lastColumn="0" w:oddVBand="1" w:evenVBand="0" w:oddHBand="0" w:evenHBand="0" w:firstRowFirstColumn="0" w:firstRowLastColumn="0" w:lastRowFirstColumn="0" w:lastRowLastColumn="0"/>
            <w:tcW w:w="1260" w:type="dxa"/>
          </w:tcPr>
          <w:p w:rsidR="00CD44A4" w:rsidRPr="001E3B34" w:rsidRDefault="00CD44A4" w:rsidP="00F701AA">
            <w:pPr>
              <w:pStyle w:val="TableBody"/>
              <w:spacing w:line="264" w:lineRule="auto"/>
              <w:jc w:val="center"/>
              <w:rPr>
                <w:rFonts w:eastAsia="MS Mincho"/>
              </w:rPr>
            </w:pPr>
            <w:r w:rsidRPr="001E3B34">
              <w:rPr>
                <w:rFonts w:eastAsia="MS Mincho"/>
              </w:rPr>
              <w:t>6.67%</w:t>
            </w:r>
          </w:p>
        </w:tc>
        <w:tc>
          <w:tcPr>
            <w:tcW w:w="1260" w:type="dxa"/>
          </w:tcPr>
          <w:p w:rsidR="00CD44A4" w:rsidRPr="001E3B34" w:rsidRDefault="00CD44A4" w:rsidP="00F701AA">
            <w:pPr>
              <w:pStyle w:val="TableBody"/>
              <w:spacing w:line="264" w:lineRule="auto"/>
              <w:jc w:val="center"/>
              <w:cnfStyle w:val="010000000000" w:firstRow="0" w:lastRow="1" w:firstColumn="0" w:lastColumn="0" w:oddVBand="0" w:evenVBand="0" w:oddHBand="0" w:evenHBand="0" w:firstRowFirstColumn="0" w:firstRowLastColumn="0" w:lastRowFirstColumn="0" w:lastRowLastColumn="0"/>
              <w:rPr>
                <w:rFonts w:eastAsia="MS Mincho"/>
              </w:rPr>
            </w:pPr>
            <w:r w:rsidRPr="001E3B34">
              <w:rPr>
                <w:rFonts w:eastAsia="MS Mincho"/>
              </w:rPr>
              <w:t>6.94%</w:t>
            </w:r>
          </w:p>
        </w:tc>
        <w:tc>
          <w:tcPr>
            <w:cnfStyle w:val="000010000000" w:firstRow="0" w:lastRow="0" w:firstColumn="0" w:lastColumn="0" w:oddVBand="1" w:evenVBand="0" w:oddHBand="0" w:evenHBand="0" w:firstRowFirstColumn="0" w:firstRowLastColumn="0" w:lastRowFirstColumn="0" w:lastRowLastColumn="0"/>
            <w:tcW w:w="1440" w:type="dxa"/>
          </w:tcPr>
          <w:p w:rsidR="00CD44A4" w:rsidRPr="001E3B34" w:rsidRDefault="00CD44A4" w:rsidP="00F701AA">
            <w:pPr>
              <w:pStyle w:val="TableBody"/>
              <w:spacing w:line="264" w:lineRule="auto"/>
              <w:jc w:val="center"/>
              <w:rPr>
                <w:rFonts w:eastAsia="MS Mincho"/>
              </w:rPr>
            </w:pPr>
            <w:r w:rsidRPr="001E3B34">
              <w:rPr>
                <w:rFonts w:eastAsia="MS Mincho"/>
              </w:rPr>
              <w:t>7.46%</w:t>
            </w:r>
          </w:p>
        </w:tc>
        <w:tc>
          <w:tcPr>
            <w:tcW w:w="1368" w:type="dxa"/>
          </w:tcPr>
          <w:p w:rsidR="00CD44A4" w:rsidRPr="001E3B34" w:rsidRDefault="00CD44A4" w:rsidP="00F701AA">
            <w:pPr>
              <w:pStyle w:val="TableBody"/>
              <w:spacing w:line="264" w:lineRule="auto"/>
              <w:jc w:val="center"/>
              <w:cnfStyle w:val="010000000000" w:firstRow="0" w:lastRow="1" w:firstColumn="0" w:lastColumn="0" w:oddVBand="0" w:evenVBand="0" w:oddHBand="0" w:evenHBand="0" w:firstRowFirstColumn="0" w:firstRowLastColumn="0" w:lastRowFirstColumn="0" w:lastRowLastColumn="0"/>
              <w:rPr>
                <w:rFonts w:eastAsia="MS Mincho"/>
              </w:rPr>
            </w:pPr>
            <w:r w:rsidRPr="001E3B34">
              <w:rPr>
                <w:rFonts w:eastAsia="MS Mincho"/>
              </w:rPr>
              <w:t>7.69%</w:t>
            </w:r>
          </w:p>
        </w:tc>
      </w:tr>
    </w:tbl>
    <w:p w:rsidR="00CD44A4" w:rsidRPr="00E8192D" w:rsidRDefault="00CD44A4" w:rsidP="00E8192D">
      <w:pPr>
        <w:pStyle w:val="ListBullet"/>
        <w:ind w:left="360" w:hanging="360"/>
        <w:rPr>
          <w:rFonts w:eastAsia="Arial Unicode MS"/>
        </w:rPr>
      </w:pPr>
      <w:r w:rsidRPr="00E8192D">
        <w:rPr>
          <w:rFonts w:eastAsia="Arial Unicode MS"/>
        </w:rPr>
        <w:t>The ledger statement should be the official ledger statement produced by the computer service of the life insurance company. It should be bug-free.</w:t>
      </w:r>
    </w:p>
    <w:sectPr w:rsidR="00CD44A4" w:rsidRPr="00E8192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74" w:rsidRDefault="005A6A74" w:rsidP="001B5761">
      <w:r>
        <w:separator/>
      </w:r>
    </w:p>
  </w:endnote>
  <w:endnote w:type="continuationSeparator" w:id="0">
    <w:p w:rsidR="005A6A74" w:rsidRDefault="005A6A74" w:rsidP="001B5761">
      <w:r>
        <w:continuationSeparator/>
      </w:r>
    </w:p>
  </w:endnote>
  <w:endnote w:id="1">
    <w:p w:rsidR="005A6A74" w:rsidRDefault="005A6A74" w:rsidP="00E8192D">
      <w:pPr>
        <w:pStyle w:val="Footnote"/>
      </w:pPr>
      <w:r>
        <w:rPr>
          <w:rStyle w:val="EndnoteReference"/>
        </w:rPr>
        <w:endnoteRef/>
      </w:r>
      <w:r>
        <w:tab/>
        <w:t xml:space="preserve">IRC Sec. </w:t>
      </w:r>
      <w:proofErr w:type="gramStart"/>
      <w:r>
        <w:t>7702(d</w:t>
      </w:r>
      <w:proofErr w:type="gramEnd"/>
      <w:r>
        <w:t>).</w:t>
      </w:r>
    </w:p>
  </w:endnote>
  <w:endnote w:id="2">
    <w:p w:rsidR="00B4004F" w:rsidRDefault="00B4004F" w:rsidP="00B4004F">
      <w:pPr>
        <w:pStyle w:val="Footnote"/>
      </w:pPr>
      <w:r>
        <w:rPr>
          <w:rStyle w:val="EndnoteReference"/>
        </w:rPr>
        <w:endnoteRef/>
      </w:r>
      <w:r>
        <w:tab/>
        <w:t xml:space="preserve">IRC </w:t>
      </w:r>
      <w:proofErr w:type="spellStart"/>
      <w:r>
        <w:t>Secs</w:t>
      </w:r>
      <w:proofErr w:type="spellEnd"/>
      <w:r>
        <w:t>. 7702(f</w:t>
      </w:r>
      <w:proofErr w:type="gramStart"/>
      <w:r>
        <w:t>)(</w:t>
      </w:r>
      <w:proofErr w:type="gramEnd"/>
      <w:r>
        <w:t>7)(B), 7702(f)(7)(C).</w:t>
      </w:r>
    </w:p>
  </w:endnote>
  <w:endnote w:id="3">
    <w:p w:rsidR="005A6A74" w:rsidRPr="00A57265" w:rsidRDefault="005A6A74" w:rsidP="00E8192D">
      <w:pPr>
        <w:pStyle w:val="Footnote"/>
      </w:pPr>
      <w:r>
        <w:rPr>
          <w:rStyle w:val="EndnoteReference"/>
        </w:rPr>
        <w:endnoteRef/>
      </w:r>
      <w:r>
        <w:tab/>
        <w:t xml:space="preserve">IRC </w:t>
      </w:r>
      <w:proofErr w:type="spellStart"/>
      <w:r>
        <w:t>Secs</w:t>
      </w:r>
      <w:proofErr w:type="spellEnd"/>
      <w:r>
        <w:t>. 7702(f</w:t>
      </w:r>
      <w:proofErr w:type="gramStart"/>
      <w:r>
        <w:t>)(</w:t>
      </w:r>
      <w:proofErr w:type="gramEnd"/>
      <w:r>
        <w:t xml:space="preserve">7)(B), 7702(f)(7)(D). The cash value corridor test is discussed in </w:t>
      </w:r>
      <w:r w:rsidRPr="00E22485">
        <w:t xml:space="preserve">Chapter </w:t>
      </w:r>
      <w:r w:rsidRPr="00431853">
        <w:t>24</w:t>
      </w:r>
      <w:r w:rsidRPr="00A57265">
        <w:t>.</w:t>
      </w:r>
    </w:p>
  </w:endnote>
  <w:endnote w:id="4">
    <w:p w:rsidR="005A6A74" w:rsidRPr="00EC7A25" w:rsidRDefault="005A6A74" w:rsidP="00E8192D">
      <w:pPr>
        <w:pStyle w:val="Footnote"/>
      </w:pPr>
      <w:r w:rsidRPr="00A57265">
        <w:rPr>
          <w:rStyle w:val="EndnoteReference"/>
        </w:rPr>
        <w:endnoteRef/>
      </w:r>
      <w:r w:rsidRPr="00766A15">
        <w:tab/>
        <w:t xml:space="preserve">In cases where there are extreme reductions in the death benefit or very large premium payments, it is even possible for a policy to fail the tests for life insurance under IRC Section 7702 with much more disastrous tax consequences. See the discussion of the definition of life insurance in Chapter </w:t>
      </w:r>
      <w:r w:rsidRPr="00896C74">
        <w:t>24</w:t>
      </w:r>
      <w:r w:rsidRPr="00EC7A25">
        <w:t>.</w:t>
      </w:r>
    </w:p>
  </w:endnote>
  <w:endnote w:id="5">
    <w:p w:rsidR="00B4004F" w:rsidRPr="00745812" w:rsidRDefault="00B4004F" w:rsidP="00B4004F">
      <w:pPr>
        <w:pStyle w:val="Footnote"/>
      </w:pPr>
      <w:r w:rsidRPr="00EC7A25">
        <w:rPr>
          <w:rStyle w:val="EndnoteReference"/>
        </w:rPr>
        <w:endnoteRef/>
      </w:r>
      <w:r w:rsidRPr="00A912B7">
        <w:tab/>
        <w:t xml:space="preserve">IRC Sec. </w:t>
      </w:r>
      <w:proofErr w:type="gramStart"/>
      <w:r w:rsidRPr="00A912B7">
        <w:t>7702A(</w:t>
      </w:r>
      <w:proofErr w:type="gramEnd"/>
      <w:r w:rsidRPr="00A912B7">
        <w:t>a)(1)(B). Classification as a MEC occurs in the year when seven-pay test is first violated and for each year thereafter. S</w:t>
      </w:r>
      <w:r w:rsidRPr="00DA6CA8">
        <w:t xml:space="preserve">ee Chapter </w:t>
      </w:r>
      <w:r w:rsidRPr="00745812">
        <w:t>22 for a more complete discussion of the seven-pay test.</w:t>
      </w:r>
    </w:p>
  </w:endnote>
  <w:endnote w:id="6">
    <w:p w:rsidR="005A6A74" w:rsidRPr="0073646B" w:rsidRDefault="005A6A74" w:rsidP="00E8192D">
      <w:pPr>
        <w:pStyle w:val="Footnote"/>
      </w:pPr>
      <w:r w:rsidRPr="0073646B">
        <w:rPr>
          <w:rStyle w:val="EndnoteReference"/>
        </w:rPr>
        <w:endnoteRef/>
      </w:r>
      <w:r w:rsidRPr="0073646B">
        <w:tab/>
        <w:t xml:space="preserve">IRC Sec. </w:t>
      </w:r>
      <w:proofErr w:type="gramStart"/>
      <w:r w:rsidRPr="0073646B">
        <w:t>7702A(</w:t>
      </w:r>
      <w:proofErr w:type="gramEnd"/>
      <w:r w:rsidRPr="0073646B">
        <w:t>e)(1).</w:t>
      </w:r>
    </w:p>
  </w:endnote>
  <w:endnote w:id="7">
    <w:p w:rsidR="005A6A74" w:rsidRPr="00070D28" w:rsidRDefault="005A6A74" w:rsidP="00E8192D">
      <w:pPr>
        <w:pStyle w:val="Footnote"/>
      </w:pPr>
      <w:r w:rsidRPr="00232C0E">
        <w:rPr>
          <w:rStyle w:val="EndnoteReference"/>
        </w:rPr>
        <w:endnoteRef/>
      </w:r>
      <w:r w:rsidRPr="00070D28">
        <w:tab/>
        <w:t>IRC Sec. 7702A(c</w:t>
      </w:r>
      <w:proofErr w:type="gramStart"/>
      <w:r w:rsidRPr="00070D28">
        <w:t>)(</w:t>
      </w:r>
      <w:proofErr w:type="gramEnd"/>
      <w:r w:rsidRPr="00070D28">
        <w:t>2)(B).</w:t>
      </w:r>
    </w:p>
  </w:endnote>
  <w:endnote w:id="8">
    <w:p w:rsidR="005A6A74" w:rsidRPr="00AD1664" w:rsidRDefault="005A6A74" w:rsidP="00E8192D">
      <w:pPr>
        <w:pStyle w:val="Footnote"/>
      </w:pPr>
      <w:r w:rsidRPr="00070D28">
        <w:rPr>
          <w:rStyle w:val="EndnoteReference"/>
        </w:rPr>
        <w:endnoteRef/>
      </w:r>
      <w:r w:rsidRPr="00AD1664">
        <w:tab/>
        <w:t>IRC Sec. 7702A(c</w:t>
      </w:r>
      <w:proofErr w:type="gramStart"/>
      <w:r w:rsidRPr="00AD1664">
        <w:t>)(</w:t>
      </w:r>
      <w:proofErr w:type="gramEnd"/>
      <w:r w:rsidRPr="00AD1664">
        <w:t>3).</w:t>
      </w:r>
    </w:p>
  </w:endnote>
  <w:endnote w:id="9">
    <w:p w:rsidR="005A6A74" w:rsidRDefault="005A6A74" w:rsidP="00E8192D">
      <w:pPr>
        <w:pStyle w:val="Footnote"/>
      </w:pPr>
      <w:r w:rsidRPr="00AD1664">
        <w:rPr>
          <w:rStyle w:val="EndnoteReference"/>
        </w:rPr>
        <w:endnoteRef/>
      </w:r>
      <w:r w:rsidRPr="004A7AB9">
        <w:tab/>
        <w:t xml:space="preserve">IRC Sec. 7702. See Chapter </w:t>
      </w:r>
      <w:r w:rsidRPr="00E30401">
        <w:t>24.</w:t>
      </w:r>
    </w:p>
  </w:endnote>
  <w:endnote w:id="10">
    <w:p w:rsidR="005A6A74" w:rsidRDefault="005A6A74" w:rsidP="00E8192D">
      <w:pPr>
        <w:pStyle w:val="Footnote"/>
      </w:pPr>
      <w:r>
        <w:rPr>
          <w:rStyle w:val="EndnoteReference"/>
        </w:rPr>
        <w:endnoteRef/>
      </w:r>
      <w:r>
        <w:t xml:space="preserve">An excellent book on this subject is </w:t>
      </w:r>
      <w:r>
        <w:rPr>
          <w:i/>
        </w:rPr>
        <w:t>Modern Mutual Fund Families &amp; Variable Life: Tools for Investment Growth and Tax Benefits,</w:t>
      </w:r>
      <w:r>
        <w:t xml:space="preserve"> by Carl E. Anderson and James B. Ross (Homewood, IL: Dow Jones-Irwin, 1988).</w:t>
      </w:r>
    </w:p>
  </w:endnote>
  <w:endnote w:id="11">
    <w:p w:rsidR="00B4004F" w:rsidRDefault="00B4004F" w:rsidP="00B4004F">
      <w:pPr>
        <w:pStyle w:val="Footnote"/>
      </w:pPr>
      <w:r>
        <w:rPr>
          <w:rStyle w:val="EndnoteReference"/>
        </w:rPr>
        <w:endnoteRef/>
      </w:r>
      <w:r>
        <w:t xml:space="preserve">This illustration is adapted from William D. </w:t>
      </w:r>
      <w:proofErr w:type="spellStart"/>
      <w:r>
        <w:t>Brownlie</w:t>
      </w:r>
      <w:proofErr w:type="spellEnd"/>
      <w:r>
        <w:t xml:space="preserve"> and Jeffery L. </w:t>
      </w:r>
      <w:proofErr w:type="spellStart"/>
      <w:r>
        <w:t>Seglin’s</w:t>
      </w:r>
      <w:proofErr w:type="spellEnd"/>
      <w:r>
        <w:t xml:space="preserve"> treatise, </w:t>
      </w:r>
      <w:r>
        <w:rPr>
          <w:i/>
        </w:rPr>
        <w:t>The Life Insurance Buyer’s Guide</w:t>
      </w:r>
      <w:r>
        <w:t xml:space="preserve"> (new York, NY: McGraw-Hill Publishing Company,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74" w:rsidRDefault="005A6A74">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74" w:rsidRPr="00935C41" w:rsidRDefault="005A6A74" w:rsidP="00677E0C">
      <w:pPr>
        <w:pStyle w:val="FootnoteSeparator"/>
      </w:pPr>
    </w:p>
  </w:footnote>
  <w:footnote w:type="continuationSeparator" w:id="0">
    <w:p w:rsidR="005A6A74" w:rsidRPr="00935C41" w:rsidRDefault="005A6A74"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9"/>
  </w:num>
  <w:num w:numId="12">
    <w:abstractNumId w:val="4"/>
  </w:num>
  <w:num w:numId="13">
    <w:abstractNumId w:val="8"/>
  </w:num>
  <w:num w:numId="14">
    <w:abstractNumId w:val="25"/>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7"/>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3"/>
  </w:num>
  <w:num w:numId="19">
    <w:abstractNumId w:val="13"/>
  </w:num>
  <w:num w:numId="20">
    <w:abstractNumId w:val="20"/>
  </w:num>
  <w:num w:numId="21">
    <w:abstractNumId w:val="14"/>
  </w:num>
  <w:num w:numId="22">
    <w:abstractNumId w:val="26"/>
  </w:num>
  <w:num w:numId="23">
    <w:abstractNumId w:val="19"/>
  </w:num>
  <w:num w:numId="24">
    <w:abstractNumId w:val="16"/>
  </w:num>
  <w:num w:numId="25">
    <w:abstractNumId w:val="11"/>
  </w:num>
  <w:num w:numId="26">
    <w:abstractNumId w:val="24"/>
  </w:num>
  <w:num w:numId="27">
    <w:abstractNumId w:val="22"/>
  </w:num>
  <w:num w:numId="28">
    <w:abstractNumId w:val="12"/>
  </w:num>
  <w:num w:numId="29">
    <w:abstractNumId w:val="17"/>
  </w:num>
  <w:num w:numId="30">
    <w:abstractNumId w:val="18"/>
  </w:num>
  <w:num w:numId="31">
    <w:abstractNumId w:val="21"/>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5783B"/>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5CFA"/>
    <w:rsid w:val="003B7838"/>
    <w:rsid w:val="003C4B5C"/>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A6A74"/>
    <w:rsid w:val="005C3786"/>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27F66"/>
    <w:rsid w:val="00836600"/>
    <w:rsid w:val="00837B38"/>
    <w:rsid w:val="008519F8"/>
    <w:rsid w:val="008532D3"/>
    <w:rsid w:val="008663FC"/>
    <w:rsid w:val="008669F5"/>
    <w:rsid w:val="00884908"/>
    <w:rsid w:val="0089126B"/>
    <w:rsid w:val="008A2B53"/>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004F"/>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D44A4"/>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1404F"/>
    <w:rsid w:val="00E25245"/>
    <w:rsid w:val="00E332C1"/>
    <w:rsid w:val="00E423E6"/>
    <w:rsid w:val="00E426F6"/>
    <w:rsid w:val="00E44228"/>
    <w:rsid w:val="00E4716A"/>
    <w:rsid w:val="00E54847"/>
    <w:rsid w:val="00E7054E"/>
    <w:rsid w:val="00E72495"/>
    <w:rsid w:val="00E771E4"/>
    <w:rsid w:val="00E8192D"/>
    <w:rsid w:val="00E81A46"/>
    <w:rsid w:val="00E82EA9"/>
    <w:rsid w:val="00E836CA"/>
    <w:rsid w:val="00E84239"/>
    <w:rsid w:val="00E852A5"/>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01AA"/>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6A7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A6A7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A6A74"/>
    <w:pPr>
      <w:outlineLvl w:val="1"/>
    </w:pPr>
  </w:style>
  <w:style w:type="paragraph" w:styleId="Heading3">
    <w:name w:val="heading 3"/>
    <w:basedOn w:val="TableTitle1"/>
    <w:next w:val="Normal"/>
    <w:link w:val="Heading3Char"/>
    <w:unhideWhenUsed/>
    <w:rsid w:val="005A6A74"/>
    <w:pPr>
      <w:outlineLvl w:val="2"/>
    </w:pPr>
  </w:style>
  <w:style w:type="paragraph" w:styleId="Heading4">
    <w:name w:val="heading 4"/>
    <w:basedOn w:val="Heading3"/>
    <w:next w:val="Normal"/>
    <w:link w:val="Heading4Char"/>
    <w:unhideWhenUsed/>
    <w:locked/>
    <w:rsid w:val="005A6A74"/>
    <w:pPr>
      <w:outlineLvl w:val="3"/>
    </w:pPr>
  </w:style>
  <w:style w:type="paragraph" w:styleId="Heading5">
    <w:name w:val="heading 5"/>
    <w:basedOn w:val="Heading4"/>
    <w:next w:val="Normal"/>
    <w:link w:val="Heading5Char"/>
    <w:unhideWhenUsed/>
    <w:locked/>
    <w:rsid w:val="005A6A74"/>
    <w:pPr>
      <w:outlineLvl w:val="4"/>
    </w:pPr>
  </w:style>
  <w:style w:type="paragraph" w:styleId="Heading6">
    <w:name w:val="heading 6"/>
    <w:basedOn w:val="Heading5"/>
    <w:next w:val="Normal"/>
    <w:link w:val="Heading6Char"/>
    <w:unhideWhenUsed/>
    <w:locked/>
    <w:rsid w:val="005A6A74"/>
    <w:pPr>
      <w:outlineLvl w:val="5"/>
    </w:pPr>
  </w:style>
  <w:style w:type="paragraph" w:styleId="Heading7">
    <w:name w:val="heading 7"/>
    <w:basedOn w:val="Heading6"/>
    <w:next w:val="Normal"/>
    <w:link w:val="Heading7Char"/>
    <w:unhideWhenUsed/>
    <w:locked/>
    <w:rsid w:val="005A6A74"/>
    <w:pPr>
      <w:outlineLvl w:val="6"/>
    </w:pPr>
  </w:style>
  <w:style w:type="paragraph" w:styleId="Heading8">
    <w:name w:val="heading 8"/>
    <w:basedOn w:val="Heading7"/>
    <w:next w:val="Normal"/>
    <w:link w:val="Heading8Char"/>
    <w:unhideWhenUsed/>
    <w:locked/>
    <w:rsid w:val="005A6A74"/>
    <w:pPr>
      <w:outlineLvl w:val="7"/>
    </w:pPr>
  </w:style>
  <w:style w:type="paragraph" w:styleId="Heading9">
    <w:name w:val="heading 9"/>
    <w:basedOn w:val="Heading8"/>
    <w:next w:val="Normal"/>
    <w:link w:val="Heading9Char"/>
    <w:unhideWhenUsed/>
    <w:locked/>
    <w:rsid w:val="005A6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A6A74"/>
  </w:style>
  <w:style w:type="character" w:customStyle="1" w:styleId="E-mailSignatureChar">
    <w:name w:val="E-mail Signature Char"/>
    <w:basedOn w:val="DefaultParagraphFont"/>
    <w:link w:val="E-mailSignature"/>
    <w:uiPriority w:val="99"/>
    <w:rsid w:val="005A6A74"/>
    <w:rPr>
      <w:rFonts w:ascii="Source Sans Pro" w:hAnsi="Source Sans Pro"/>
      <w:sz w:val="24"/>
      <w:szCs w:val="22"/>
    </w:rPr>
  </w:style>
  <w:style w:type="character" w:styleId="Hyperlink">
    <w:name w:val="Hyperlink"/>
    <w:basedOn w:val="DefaultParagraphFont"/>
    <w:uiPriority w:val="99"/>
    <w:unhideWhenUsed/>
    <w:rsid w:val="005A6A74"/>
    <w:rPr>
      <w:color w:val="0000FF"/>
      <w:u w:val="single"/>
    </w:rPr>
  </w:style>
  <w:style w:type="paragraph" w:styleId="ListBullet5">
    <w:name w:val="List Bullet 5"/>
    <w:basedOn w:val="Normal"/>
    <w:uiPriority w:val="99"/>
    <w:unhideWhenUsed/>
    <w:rsid w:val="005A6A74"/>
    <w:pPr>
      <w:tabs>
        <w:tab w:val="num" w:pos="1800"/>
      </w:tabs>
      <w:ind w:left="1800" w:hanging="360"/>
      <w:contextualSpacing/>
    </w:pPr>
  </w:style>
  <w:style w:type="paragraph" w:styleId="NoSpacing">
    <w:name w:val="No Spacing"/>
    <w:uiPriority w:val="1"/>
    <w:rsid w:val="005A6A74"/>
    <w:rPr>
      <w:rFonts w:ascii="Source Sans Pro" w:hAnsi="Source Sans Pro"/>
      <w:szCs w:val="22"/>
    </w:rPr>
  </w:style>
  <w:style w:type="character" w:customStyle="1" w:styleId="Heading1Char">
    <w:name w:val="Heading 1 Char"/>
    <w:basedOn w:val="DefaultParagraphFont"/>
    <w:link w:val="Heading1"/>
    <w:uiPriority w:val="9"/>
    <w:rsid w:val="005A6A7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A6A7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A6A7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A6A7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A6A7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A6A7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A6A7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A6A7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A6A7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A6A7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A6A7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A6A74"/>
    <w:rPr>
      <w:i/>
      <w:iCs/>
      <w:color w:val="7F7F7F" w:themeColor="text1" w:themeTint="80"/>
    </w:rPr>
  </w:style>
  <w:style w:type="character" w:styleId="Emphasis">
    <w:name w:val="Emphasis"/>
    <w:basedOn w:val="DefaultParagraphFont"/>
    <w:uiPriority w:val="20"/>
    <w:rsid w:val="005A6A74"/>
    <w:rPr>
      <w:i/>
      <w:iCs/>
    </w:rPr>
  </w:style>
  <w:style w:type="table" w:styleId="TableGrid">
    <w:name w:val="Table Grid"/>
    <w:basedOn w:val="TableNormal"/>
    <w:uiPriority w:val="59"/>
    <w:rsid w:val="005A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6A7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A6A74"/>
    <w:rPr>
      <w:i/>
      <w:iCs/>
      <w:color w:val="000000" w:themeColor="text1"/>
    </w:rPr>
  </w:style>
  <w:style w:type="character" w:customStyle="1" w:styleId="QuoteChar">
    <w:name w:val="Quote Char"/>
    <w:basedOn w:val="DefaultParagraphFont"/>
    <w:link w:val="Quote"/>
    <w:uiPriority w:val="29"/>
    <w:rsid w:val="005A6A7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A6A7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A6A74"/>
    <w:rPr>
      <w:rFonts w:ascii="Source Sans Pro" w:hAnsi="Source Sans Pro"/>
      <w:b/>
      <w:bCs/>
      <w:i/>
      <w:iCs/>
      <w:color w:val="9BBB59" w:themeColor="accent4"/>
      <w:sz w:val="24"/>
      <w:szCs w:val="22"/>
    </w:rPr>
  </w:style>
  <w:style w:type="paragraph" w:customStyle="1" w:styleId="Title1">
    <w:name w:val="Title 1"/>
    <w:basedOn w:val="Normal"/>
    <w:link w:val="Title1Char"/>
    <w:qFormat/>
    <w:rsid w:val="005A6A7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A6A74"/>
    <w:rPr>
      <w:b/>
      <w:bCs/>
      <w:smallCaps/>
      <w:color w:val="C0504D" w:themeColor="accent2"/>
      <w:spacing w:val="5"/>
      <w:u w:val="single"/>
    </w:rPr>
  </w:style>
  <w:style w:type="character" w:styleId="BookTitle">
    <w:name w:val="Book Title"/>
    <w:basedOn w:val="DefaultParagraphFont"/>
    <w:uiPriority w:val="33"/>
    <w:rsid w:val="005A6A74"/>
    <w:rPr>
      <w:b/>
      <w:bCs/>
      <w:smallCaps/>
      <w:spacing w:val="5"/>
    </w:rPr>
  </w:style>
  <w:style w:type="paragraph" w:styleId="ListParagraph">
    <w:name w:val="List Paragraph"/>
    <w:basedOn w:val="Normal"/>
    <w:uiPriority w:val="34"/>
    <w:rsid w:val="005A6A74"/>
    <w:pPr>
      <w:ind w:left="720"/>
      <w:contextualSpacing/>
    </w:pPr>
  </w:style>
  <w:style w:type="paragraph" w:styleId="Caption">
    <w:name w:val="caption"/>
    <w:basedOn w:val="Normal"/>
    <w:next w:val="Normal"/>
    <w:uiPriority w:val="35"/>
    <w:unhideWhenUsed/>
    <w:rsid w:val="005A6A74"/>
    <w:rPr>
      <w:b/>
      <w:bCs/>
      <w:color w:val="C5DBF2" w:themeColor="accent5" w:themeShade="E6"/>
      <w:sz w:val="18"/>
      <w:szCs w:val="18"/>
    </w:rPr>
  </w:style>
  <w:style w:type="paragraph" w:styleId="Bibliography">
    <w:name w:val="Bibliography"/>
    <w:basedOn w:val="Normal"/>
    <w:next w:val="Normal"/>
    <w:uiPriority w:val="37"/>
    <w:unhideWhenUsed/>
    <w:rsid w:val="005A6A74"/>
  </w:style>
  <w:style w:type="paragraph" w:styleId="TOC1">
    <w:name w:val="toc 1"/>
    <w:basedOn w:val="Normal"/>
    <w:next w:val="Normal"/>
    <w:autoRedefine/>
    <w:uiPriority w:val="39"/>
    <w:unhideWhenUsed/>
    <w:rsid w:val="005A6A74"/>
    <w:pPr>
      <w:spacing w:after="100"/>
    </w:pPr>
  </w:style>
  <w:style w:type="paragraph" w:styleId="TOC2">
    <w:name w:val="toc 2"/>
    <w:basedOn w:val="Normal"/>
    <w:next w:val="Normal"/>
    <w:autoRedefine/>
    <w:uiPriority w:val="39"/>
    <w:unhideWhenUsed/>
    <w:rsid w:val="005A6A74"/>
    <w:pPr>
      <w:spacing w:after="100"/>
      <w:ind w:left="220"/>
    </w:pPr>
  </w:style>
  <w:style w:type="paragraph" w:styleId="TOC3">
    <w:name w:val="toc 3"/>
    <w:basedOn w:val="Normal"/>
    <w:next w:val="Normal"/>
    <w:autoRedefine/>
    <w:uiPriority w:val="39"/>
    <w:unhideWhenUsed/>
    <w:rsid w:val="005A6A74"/>
    <w:pPr>
      <w:spacing w:after="100"/>
      <w:ind w:left="440"/>
    </w:pPr>
  </w:style>
  <w:style w:type="paragraph" w:styleId="TOC4">
    <w:name w:val="toc 4"/>
    <w:basedOn w:val="Normal"/>
    <w:next w:val="Normal"/>
    <w:autoRedefine/>
    <w:uiPriority w:val="39"/>
    <w:unhideWhenUsed/>
    <w:rsid w:val="005A6A74"/>
    <w:pPr>
      <w:spacing w:after="100"/>
      <w:ind w:left="660"/>
    </w:pPr>
  </w:style>
  <w:style w:type="paragraph" w:styleId="TOC5">
    <w:name w:val="toc 5"/>
    <w:basedOn w:val="Normal"/>
    <w:next w:val="Normal"/>
    <w:autoRedefine/>
    <w:uiPriority w:val="39"/>
    <w:unhideWhenUsed/>
    <w:rsid w:val="005A6A74"/>
    <w:pPr>
      <w:spacing w:after="100"/>
      <w:ind w:left="880"/>
    </w:pPr>
  </w:style>
  <w:style w:type="paragraph" w:styleId="TOC6">
    <w:name w:val="toc 6"/>
    <w:basedOn w:val="Normal"/>
    <w:next w:val="Normal"/>
    <w:autoRedefine/>
    <w:uiPriority w:val="39"/>
    <w:unhideWhenUsed/>
    <w:rsid w:val="005A6A74"/>
    <w:pPr>
      <w:spacing w:after="100"/>
      <w:ind w:left="1100"/>
    </w:pPr>
  </w:style>
  <w:style w:type="paragraph" w:styleId="TOC7">
    <w:name w:val="toc 7"/>
    <w:basedOn w:val="Normal"/>
    <w:next w:val="Normal"/>
    <w:autoRedefine/>
    <w:uiPriority w:val="39"/>
    <w:unhideWhenUsed/>
    <w:rsid w:val="005A6A74"/>
    <w:pPr>
      <w:spacing w:after="100"/>
      <w:ind w:left="1320"/>
    </w:pPr>
  </w:style>
  <w:style w:type="paragraph" w:styleId="TOC8">
    <w:name w:val="toc 8"/>
    <w:basedOn w:val="Normal"/>
    <w:next w:val="Normal"/>
    <w:autoRedefine/>
    <w:uiPriority w:val="39"/>
    <w:unhideWhenUsed/>
    <w:rsid w:val="005A6A74"/>
    <w:pPr>
      <w:spacing w:after="100"/>
      <w:ind w:left="1540"/>
    </w:pPr>
  </w:style>
  <w:style w:type="paragraph" w:styleId="TOC9">
    <w:name w:val="toc 9"/>
    <w:basedOn w:val="Normal"/>
    <w:next w:val="Normal"/>
    <w:autoRedefine/>
    <w:uiPriority w:val="39"/>
    <w:unhideWhenUsed/>
    <w:rsid w:val="005A6A74"/>
    <w:pPr>
      <w:spacing w:after="100"/>
      <w:ind w:left="1760"/>
    </w:pPr>
  </w:style>
  <w:style w:type="paragraph" w:styleId="TOCHeading">
    <w:name w:val="TOC Heading"/>
    <w:basedOn w:val="Heading1"/>
    <w:next w:val="Normal"/>
    <w:uiPriority w:val="39"/>
    <w:unhideWhenUsed/>
    <w:rsid w:val="005A6A74"/>
    <w:pPr>
      <w:outlineLvl w:val="9"/>
    </w:pPr>
  </w:style>
  <w:style w:type="paragraph" w:styleId="BalloonText">
    <w:name w:val="Balloon Text"/>
    <w:basedOn w:val="Normal"/>
    <w:link w:val="BalloonTextChar"/>
    <w:uiPriority w:val="99"/>
    <w:unhideWhenUsed/>
    <w:rsid w:val="005A6A74"/>
    <w:rPr>
      <w:rFonts w:cs="Tahoma"/>
      <w:sz w:val="16"/>
      <w:szCs w:val="16"/>
    </w:rPr>
  </w:style>
  <w:style w:type="character" w:customStyle="1" w:styleId="BalloonTextChar">
    <w:name w:val="Balloon Text Char"/>
    <w:basedOn w:val="DefaultParagraphFont"/>
    <w:link w:val="BalloonText"/>
    <w:uiPriority w:val="99"/>
    <w:rsid w:val="005A6A74"/>
    <w:rPr>
      <w:rFonts w:ascii="Source Sans Pro" w:hAnsi="Source Sans Pro" w:cs="Tahoma"/>
      <w:sz w:val="16"/>
      <w:szCs w:val="16"/>
    </w:rPr>
  </w:style>
  <w:style w:type="paragraph" w:styleId="BlockText">
    <w:name w:val="Block Text"/>
    <w:basedOn w:val="Normal"/>
    <w:uiPriority w:val="99"/>
    <w:unhideWhenUsed/>
    <w:rsid w:val="005A6A7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A6A74"/>
    <w:pPr>
      <w:spacing w:after="120"/>
    </w:pPr>
  </w:style>
  <w:style w:type="character" w:customStyle="1" w:styleId="BodyTextChar">
    <w:name w:val="Body Text Char"/>
    <w:basedOn w:val="DefaultParagraphFont"/>
    <w:link w:val="BodyText"/>
    <w:uiPriority w:val="99"/>
    <w:rsid w:val="005A6A74"/>
    <w:rPr>
      <w:rFonts w:ascii="Source Sans Pro" w:hAnsi="Source Sans Pro"/>
      <w:sz w:val="24"/>
      <w:szCs w:val="22"/>
    </w:rPr>
  </w:style>
  <w:style w:type="paragraph" w:styleId="BodyText2">
    <w:name w:val="Body Text 2"/>
    <w:basedOn w:val="Normal"/>
    <w:link w:val="BodyText2Char"/>
    <w:uiPriority w:val="99"/>
    <w:unhideWhenUsed/>
    <w:rsid w:val="005A6A74"/>
    <w:pPr>
      <w:spacing w:after="120" w:line="480" w:lineRule="auto"/>
    </w:pPr>
  </w:style>
  <w:style w:type="character" w:customStyle="1" w:styleId="BodyText2Char">
    <w:name w:val="Body Text 2 Char"/>
    <w:basedOn w:val="DefaultParagraphFont"/>
    <w:link w:val="BodyText2"/>
    <w:uiPriority w:val="99"/>
    <w:rsid w:val="005A6A74"/>
    <w:rPr>
      <w:rFonts w:ascii="Source Sans Pro" w:hAnsi="Source Sans Pro"/>
      <w:sz w:val="24"/>
      <w:szCs w:val="22"/>
    </w:rPr>
  </w:style>
  <w:style w:type="paragraph" w:styleId="BodyText3">
    <w:name w:val="Body Text 3"/>
    <w:basedOn w:val="Normal"/>
    <w:link w:val="BodyText3Char"/>
    <w:uiPriority w:val="99"/>
    <w:unhideWhenUsed/>
    <w:rsid w:val="005A6A74"/>
    <w:pPr>
      <w:spacing w:after="120"/>
    </w:pPr>
    <w:rPr>
      <w:sz w:val="16"/>
      <w:szCs w:val="16"/>
    </w:rPr>
  </w:style>
  <w:style w:type="character" w:customStyle="1" w:styleId="BodyText3Char">
    <w:name w:val="Body Text 3 Char"/>
    <w:basedOn w:val="DefaultParagraphFont"/>
    <w:link w:val="BodyText3"/>
    <w:uiPriority w:val="99"/>
    <w:rsid w:val="005A6A7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A6A74"/>
    <w:pPr>
      <w:spacing w:after="200"/>
      <w:ind w:firstLine="360"/>
    </w:pPr>
  </w:style>
  <w:style w:type="character" w:customStyle="1" w:styleId="BodyTextFirstIndentChar">
    <w:name w:val="Body Text First Indent Char"/>
    <w:basedOn w:val="BodyTextChar"/>
    <w:link w:val="BodyTextFirstIndent"/>
    <w:uiPriority w:val="99"/>
    <w:rsid w:val="005A6A74"/>
    <w:rPr>
      <w:rFonts w:ascii="Source Sans Pro" w:hAnsi="Source Sans Pro"/>
      <w:sz w:val="24"/>
      <w:szCs w:val="22"/>
    </w:rPr>
  </w:style>
  <w:style w:type="paragraph" w:styleId="BodyTextIndent">
    <w:name w:val="Body Text Indent"/>
    <w:basedOn w:val="Normal"/>
    <w:link w:val="BodyTextIndentChar"/>
    <w:uiPriority w:val="99"/>
    <w:unhideWhenUsed/>
    <w:rsid w:val="005A6A74"/>
    <w:pPr>
      <w:spacing w:after="120"/>
      <w:ind w:left="360"/>
    </w:pPr>
  </w:style>
  <w:style w:type="character" w:customStyle="1" w:styleId="BodyTextIndentChar">
    <w:name w:val="Body Text Indent Char"/>
    <w:basedOn w:val="DefaultParagraphFont"/>
    <w:link w:val="BodyTextIndent"/>
    <w:uiPriority w:val="99"/>
    <w:rsid w:val="005A6A7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A6A74"/>
    <w:pPr>
      <w:spacing w:after="200"/>
      <w:ind w:firstLine="360"/>
    </w:pPr>
  </w:style>
  <w:style w:type="character" w:customStyle="1" w:styleId="BodyTextFirstIndent2Char">
    <w:name w:val="Body Text First Indent 2 Char"/>
    <w:basedOn w:val="BodyTextIndentChar"/>
    <w:link w:val="BodyTextFirstIndent2"/>
    <w:uiPriority w:val="99"/>
    <w:rsid w:val="005A6A74"/>
    <w:rPr>
      <w:rFonts w:ascii="Source Sans Pro" w:hAnsi="Source Sans Pro"/>
      <w:sz w:val="24"/>
      <w:szCs w:val="22"/>
    </w:rPr>
  </w:style>
  <w:style w:type="paragraph" w:styleId="BodyTextIndent2">
    <w:name w:val="Body Text Indent 2"/>
    <w:basedOn w:val="Normal"/>
    <w:link w:val="BodyTextIndent2Char"/>
    <w:uiPriority w:val="99"/>
    <w:unhideWhenUsed/>
    <w:rsid w:val="005A6A74"/>
    <w:pPr>
      <w:spacing w:after="120" w:line="480" w:lineRule="auto"/>
      <w:ind w:left="360"/>
    </w:pPr>
  </w:style>
  <w:style w:type="character" w:customStyle="1" w:styleId="BodyTextIndent2Char">
    <w:name w:val="Body Text Indent 2 Char"/>
    <w:basedOn w:val="DefaultParagraphFont"/>
    <w:link w:val="BodyTextIndent2"/>
    <w:uiPriority w:val="99"/>
    <w:rsid w:val="005A6A74"/>
    <w:rPr>
      <w:rFonts w:ascii="Source Sans Pro" w:hAnsi="Source Sans Pro"/>
      <w:sz w:val="24"/>
      <w:szCs w:val="22"/>
    </w:rPr>
  </w:style>
  <w:style w:type="paragraph" w:styleId="BodyTextIndent3">
    <w:name w:val="Body Text Indent 3"/>
    <w:basedOn w:val="Normal"/>
    <w:link w:val="BodyTextIndent3Char"/>
    <w:uiPriority w:val="99"/>
    <w:unhideWhenUsed/>
    <w:rsid w:val="005A6A74"/>
    <w:pPr>
      <w:spacing w:after="120"/>
      <w:ind w:left="360"/>
    </w:pPr>
    <w:rPr>
      <w:sz w:val="16"/>
      <w:szCs w:val="16"/>
    </w:rPr>
  </w:style>
  <w:style w:type="character" w:customStyle="1" w:styleId="BodyTextIndent3Char">
    <w:name w:val="Body Text Indent 3 Char"/>
    <w:basedOn w:val="DefaultParagraphFont"/>
    <w:link w:val="BodyTextIndent3"/>
    <w:uiPriority w:val="99"/>
    <w:rsid w:val="005A6A74"/>
    <w:rPr>
      <w:rFonts w:ascii="Source Sans Pro" w:hAnsi="Source Sans Pro"/>
      <w:sz w:val="16"/>
      <w:szCs w:val="16"/>
    </w:rPr>
  </w:style>
  <w:style w:type="paragraph" w:styleId="Closing">
    <w:name w:val="Closing"/>
    <w:basedOn w:val="Normal"/>
    <w:link w:val="ClosingChar"/>
    <w:uiPriority w:val="99"/>
    <w:unhideWhenUsed/>
    <w:rsid w:val="005A6A74"/>
    <w:pPr>
      <w:ind w:left="4320"/>
    </w:pPr>
  </w:style>
  <w:style w:type="character" w:customStyle="1" w:styleId="ClosingChar">
    <w:name w:val="Closing Char"/>
    <w:basedOn w:val="DefaultParagraphFont"/>
    <w:link w:val="Closing"/>
    <w:uiPriority w:val="99"/>
    <w:rsid w:val="005A6A74"/>
    <w:rPr>
      <w:rFonts w:ascii="Source Sans Pro" w:hAnsi="Source Sans Pro"/>
      <w:sz w:val="24"/>
      <w:szCs w:val="22"/>
    </w:rPr>
  </w:style>
  <w:style w:type="character" w:styleId="CommentReference">
    <w:name w:val="annotation reference"/>
    <w:basedOn w:val="DefaultParagraphFont"/>
    <w:uiPriority w:val="99"/>
    <w:unhideWhenUsed/>
    <w:qFormat/>
    <w:rsid w:val="005A6A74"/>
    <w:rPr>
      <w:rFonts w:ascii="Source Sans Pro" w:hAnsi="Source Sans Pro"/>
      <w:sz w:val="20"/>
      <w:szCs w:val="16"/>
    </w:rPr>
  </w:style>
  <w:style w:type="paragraph" w:styleId="CommentText">
    <w:name w:val="annotation text"/>
    <w:basedOn w:val="Normal"/>
    <w:link w:val="CommentTextChar"/>
    <w:uiPriority w:val="99"/>
    <w:unhideWhenUsed/>
    <w:rsid w:val="005A6A74"/>
    <w:rPr>
      <w:szCs w:val="20"/>
    </w:rPr>
  </w:style>
  <w:style w:type="character" w:customStyle="1" w:styleId="CommentTextChar">
    <w:name w:val="Comment Text Char"/>
    <w:basedOn w:val="DefaultParagraphFont"/>
    <w:link w:val="CommentText"/>
    <w:uiPriority w:val="99"/>
    <w:rsid w:val="005A6A74"/>
    <w:rPr>
      <w:rFonts w:ascii="Source Sans Pro" w:hAnsi="Source Sans Pro"/>
      <w:sz w:val="24"/>
    </w:rPr>
  </w:style>
  <w:style w:type="paragraph" w:styleId="CommentSubject">
    <w:name w:val="annotation subject"/>
    <w:basedOn w:val="CommentText"/>
    <w:next w:val="CommentText"/>
    <w:link w:val="CommentSubjectChar"/>
    <w:uiPriority w:val="99"/>
    <w:unhideWhenUsed/>
    <w:rsid w:val="005A6A74"/>
    <w:rPr>
      <w:b/>
      <w:bCs/>
    </w:rPr>
  </w:style>
  <w:style w:type="character" w:customStyle="1" w:styleId="CommentSubjectChar">
    <w:name w:val="Comment Subject Char"/>
    <w:basedOn w:val="CommentTextChar"/>
    <w:link w:val="CommentSubject"/>
    <w:uiPriority w:val="99"/>
    <w:rsid w:val="005A6A74"/>
    <w:rPr>
      <w:rFonts w:ascii="Source Sans Pro" w:hAnsi="Source Sans Pro"/>
      <w:b/>
      <w:bCs/>
      <w:sz w:val="24"/>
    </w:rPr>
  </w:style>
  <w:style w:type="paragraph" w:styleId="Date">
    <w:name w:val="Date"/>
    <w:basedOn w:val="Normal"/>
    <w:next w:val="Normal"/>
    <w:link w:val="DateChar"/>
    <w:uiPriority w:val="99"/>
    <w:unhideWhenUsed/>
    <w:rsid w:val="005A6A74"/>
  </w:style>
  <w:style w:type="character" w:customStyle="1" w:styleId="DateChar">
    <w:name w:val="Date Char"/>
    <w:basedOn w:val="DefaultParagraphFont"/>
    <w:link w:val="Date"/>
    <w:uiPriority w:val="99"/>
    <w:rsid w:val="005A6A74"/>
    <w:rPr>
      <w:rFonts w:ascii="Source Sans Pro" w:hAnsi="Source Sans Pro"/>
      <w:sz w:val="24"/>
      <w:szCs w:val="22"/>
    </w:rPr>
  </w:style>
  <w:style w:type="paragraph" w:styleId="DocumentMap">
    <w:name w:val="Document Map"/>
    <w:basedOn w:val="Normal"/>
    <w:link w:val="DocumentMapChar"/>
    <w:uiPriority w:val="99"/>
    <w:unhideWhenUsed/>
    <w:rsid w:val="005A6A74"/>
    <w:rPr>
      <w:rFonts w:cs="Tahoma"/>
      <w:sz w:val="16"/>
      <w:szCs w:val="16"/>
    </w:rPr>
  </w:style>
  <w:style w:type="character" w:customStyle="1" w:styleId="DocumentMapChar">
    <w:name w:val="Document Map Char"/>
    <w:basedOn w:val="DefaultParagraphFont"/>
    <w:link w:val="DocumentMap"/>
    <w:uiPriority w:val="99"/>
    <w:rsid w:val="005A6A74"/>
    <w:rPr>
      <w:rFonts w:ascii="Source Sans Pro" w:hAnsi="Source Sans Pro" w:cs="Tahoma"/>
      <w:sz w:val="16"/>
      <w:szCs w:val="16"/>
    </w:rPr>
  </w:style>
  <w:style w:type="character" w:styleId="EndnoteReference">
    <w:name w:val="endnote reference"/>
    <w:basedOn w:val="DefaultParagraphFont"/>
    <w:uiPriority w:val="99"/>
    <w:unhideWhenUsed/>
    <w:rsid w:val="005A6A74"/>
    <w:rPr>
      <w:vertAlign w:val="superscript"/>
    </w:rPr>
  </w:style>
  <w:style w:type="paragraph" w:styleId="EndnoteText">
    <w:name w:val="endnote text"/>
    <w:basedOn w:val="Normal"/>
    <w:link w:val="EndnoteTextChar"/>
    <w:uiPriority w:val="99"/>
    <w:unhideWhenUsed/>
    <w:rsid w:val="005A6A74"/>
    <w:rPr>
      <w:szCs w:val="20"/>
    </w:rPr>
  </w:style>
  <w:style w:type="character" w:customStyle="1" w:styleId="EndnoteTextChar">
    <w:name w:val="Endnote Text Char"/>
    <w:basedOn w:val="DefaultParagraphFont"/>
    <w:link w:val="EndnoteText"/>
    <w:uiPriority w:val="99"/>
    <w:rsid w:val="005A6A74"/>
    <w:rPr>
      <w:rFonts w:ascii="Source Sans Pro" w:hAnsi="Source Sans Pro"/>
      <w:sz w:val="24"/>
    </w:rPr>
  </w:style>
  <w:style w:type="paragraph" w:styleId="EnvelopeReturn">
    <w:name w:val="envelope return"/>
    <w:basedOn w:val="Normal"/>
    <w:uiPriority w:val="99"/>
    <w:unhideWhenUsed/>
    <w:rsid w:val="005A6A74"/>
    <w:rPr>
      <w:rFonts w:asciiTheme="majorHAnsi" w:eastAsia="Times New Roman" w:hAnsiTheme="majorHAnsi"/>
      <w:szCs w:val="20"/>
    </w:rPr>
  </w:style>
  <w:style w:type="character" w:styleId="FollowedHyperlink">
    <w:name w:val="FollowedHyperlink"/>
    <w:basedOn w:val="DefaultParagraphFont"/>
    <w:uiPriority w:val="99"/>
    <w:unhideWhenUsed/>
    <w:rsid w:val="005A6A74"/>
    <w:rPr>
      <w:color w:val="800080"/>
      <w:u w:val="single"/>
    </w:rPr>
  </w:style>
  <w:style w:type="paragraph" w:styleId="Footer">
    <w:name w:val="footer"/>
    <w:basedOn w:val="Normal"/>
    <w:link w:val="FooterChar"/>
    <w:uiPriority w:val="99"/>
    <w:unhideWhenUsed/>
    <w:rsid w:val="005A6A74"/>
    <w:pPr>
      <w:tabs>
        <w:tab w:val="center" w:pos="4680"/>
        <w:tab w:val="right" w:pos="9360"/>
      </w:tabs>
    </w:pPr>
  </w:style>
  <w:style w:type="character" w:customStyle="1" w:styleId="FooterChar">
    <w:name w:val="Footer Char"/>
    <w:basedOn w:val="DefaultParagraphFont"/>
    <w:link w:val="Footer"/>
    <w:uiPriority w:val="99"/>
    <w:rsid w:val="005A6A74"/>
    <w:rPr>
      <w:rFonts w:ascii="Source Sans Pro" w:hAnsi="Source Sans Pro"/>
      <w:sz w:val="24"/>
      <w:szCs w:val="22"/>
    </w:rPr>
  </w:style>
  <w:style w:type="character" w:styleId="FootnoteReference">
    <w:name w:val="footnote reference"/>
    <w:basedOn w:val="DefaultParagraphFont"/>
    <w:uiPriority w:val="99"/>
    <w:unhideWhenUsed/>
    <w:rsid w:val="005A6A74"/>
    <w:rPr>
      <w:vertAlign w:val="superscript"/>
    </w:rPr>
  </w:style>
  <w:style w:type="paragraph" w:styleId="FootnoteText">
    <w:name w:val="footnote text"/>
    <w:basedOn w:val="Normal"/>
    <w:link w:val="FootnoteTextChar"/>
    <w:uiPriority w:val="99"/>
    <w:unhideWhenUsed/>
    <w:qFormat/>
    <w:rsid w:val="005A6A7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A6A74"/>
    <w:rPr>
      <w:rFonts w:ascii="Source Sans Pro" w:hAnsi="Source Sans Pro"/>
      <w:sz w:val="18"/>
    </w:rPr>
  </w:style>
  <w:style w:type="paragraph" w:styleId="Header">
    <w:name w:val="header"/>
    <w:basedOn w:val="Normal"/>
    <w:link w:val="HeaderChar"/>
    <w:uiPriority w:val="99"/>
    <w:unhideWhenUsed/>
    <w:rsid w:val="005A6A74"/>
    <w:pPr>
      <w:tabs>
        <w:tab w:val="center" w:pos="4680"/>
        <w:tab w:val="right" w:pos="9360"/>
      </w:tabs>
    </w:pPr>
  </w:style>
  <w:style w:type="character" w:customStyle="1" w:styleId="HeaderChar">
    <w:name w:val="Header Char"/>
    <w:basedOn w:val="DefaultParagraphFont"/>
    <w:link w:val="Header"/>
    <w:uiPriority w:val="99"/>
    <w:rsid w:val="005A6A74"/>
    <w:rPr>
      <w:rFonts w:ascii="Source Sans Pro" w:hAnsi="Source Sans Pro"/>
      <w:sz w:val="24"/>
      <w:szCs w:val="22"/>
    </w:rPr>
  </w:style>
  <w:style w:type="character" w:styleId="HTMLAcronym">
    <w:name w:val="HTML Acronym"/>
    <w:basedOn w:val="DefaultParagraphFont"/>
    <w:uiPriority w:val="99"/>
    <w:unhideWhenUsed/>
    <w:rsid w:val="005A6A74"/>
  </w:style>
  <w:style w:type="paragraph" w:styleId="HTMLAddress">
    <w:name w:val="HTML Address"/>
    <w:basedOn w:val="Normal"/>
    <w:link w:val="HTMLAddressChar"/>
    <w:uiPriority w:val="99"/>
    <w:unhideWhenUsed/>
    <w:rsid w:val="005A6A74"/>
    <w:rPr>
      <w:i/>
      <w:iCs/>
    </w:rPr>
  </w:style>
  <w:style w:type="character" w:customStyle="1" w:styleId="HTMLAddressChar">
    <w:name w:val="HTML Address Char"/>
    <w:basedOn w:val="DefaultParagraphFont"/>
    <w:link w:val="HTMLAddress"/>
    <w:uiPriority w:val="99"/>
    <w:rsid w:val="005A6A74"/>
    <w:rPr>
      <w:rFonts w:ascii="Source Sans Pro" w:hAnsi="Source Sans Pro"/>
      <w:i/>
      <w:iCs/>
      <w:sz w:val="24"/>
      <w:szCs w:val="22"/>
    </w:rPr>
  </w:style>
  <w:style w:type="character" w:styleId="HTMLCite">
    <w:name w:val="HTML Cite"/>
    <w:basedOn w:val="DefaultParagraphFont"/>
    <w:uiPriority w:val="99"/>
    <w:unhideWhenUsed/>
    <w:rsid w:val="005A6A74"/>
    <w:rPr>
      <w:i/>
      <w:iCs/>
    </w:rPr>
  </w:style>
  <w:style w:type="character" w:styleId="HTMLCode">
    <w:name w:val="HTML Code"/>
    <w:basedOn w:val="DefaultParagraphFont"/>
    <w:uiPriority w:val="99"/>
    <w:unhideWhenUsed/>
    <w:rsid w:val="005A6A74"/>
    <w:rPr>
      <w:rFonts w:ascii="Consolas" w:hAnsi="Consolas"/>
      <w:sz w:val="20"/>
      <w:szCs w:val="20"/>
    </w:rPr>
  </w:style>
  <w:style w:type="character" w:styleId="HTMLDefinition">
    <w:name w:val="HTML Definition"/>
    <w:basedOn w:val="DefaultParagraphFont"/>
    <w:uiPriority w:val="99"/>
    <w:unhideWhenUsed/>
    <w:rsid w:val="005A6A74"/>
    <w:rPr>
      <w:i/>
      <w:iCs/>
    </w:rPr>
  </w:style>
  <w:style w:type="character" w:styleId="HTMLKeyboard">
    <w:name w:val="HTML Keyboard"/>
    <w:basedOn w:val="DefaultParagraphFont"/>
    <w:uiPriority w:val="99"/>
    <w:unhideWhenUsed/>
    <w:rsid w:val="005A6A74"/>
    <w:rPr>
      <w:rFonts w:ascii="Consolas" w:hAnsi="Consolas"/>
      <w:sz w:val="20"/>
      <w:szCs w:val="20"/>
    </w:rPr>
  </w:style>
  <w:style w:type="paragraph" w:styleId="HTMLPreformatted">
    <w:name w:val="HTML Preformatted"/>
    <w:basedOn w:val="Normal"/>
    <w:link w:val="HTMLPreformattedChar"/>
    <w:uiPriority w:val="99"/>
    <w:unhideWhenUsed/>
    <w:rsid w:val="005A6A74"/>
    <w:rPr>
      <w:rFonts w:ascii="Consolas" w:hAnsi="Consolas"/>
      <w:szCs w:val="20"/>
    </w:rPr>
  </w:style>
  <w:style w:type="character" w:customStyle="1" w:styleId="HTMLPreformattedChar">
    <w:name w:val="HTML Preformatted Char"/>
    <w:basedOn w:val="DefaultParagraphFont"/>
    <w:link w:val="HTMLPreformatted"/>
    <w:uiPriority w:val="99"/>
    <w:rsid w:val="005A6A74"/>
    <w:rPr>
      <w:rFonts w:ascii="Consolas" w:hAnsi="Consolas"/>
      <w:sz w:val="24"/>
    </w:rPr>
  </w:style>
  <w:style w:type="character" w:styleId="HTMLSample">
    <w:name w:val="HTML Sample"/>
    <w:basedOn w:val="DefaultParagraphFont"/>
    <w:uiPriority w:val="99"/>
    <w:unhideWhenUsed/>
    <w:rsid w:val="005A6A74"/>
    <w:rPr>
      <w:rFonts w:ascii="Consolas" w:hAnsi="Consolas"/>
      <w:sz w:val="24"/>
      <w:szCs w:val="24"/>
    </w:rPr>
  </w:style>
  <w:style w:type="character" w:styleId="HTMLTypewriter">
    <w:name w:val="HTML Typewriter"/>
    <w:basedOn w:val="DefaultParagraphFont"/>
    <w:uiPriority w:val="99"/>
    <w:unhideWhenUsed/>
    <w:rsid w:val="005A6A74"/>
    <w:rPr>
      <w:rFonts w:ascii="Consolas" w:hAnsi="Consolas"/>
      <w:sz w:val="20"/>
      <w:szCs w:val="20"/>
    </w:rPr>
  </w:style>
  <w:style w:type="character" w:styleId="HTMLVariable">
    <w:name w:val="HTML Variable"/>
    <w:basedOn w:val="DefaultParagraphFont"/>
    <w:uiPriority w:val="99"/>
    <w:unhideWhenUsed/>
    <w:rsid w:val="005A6A74"/>
    <w:rPr>
      <w:i/>
      <w:iCs/>
    </w:rPr>
  </w:style>
  <w:style w:type="paragraph" w:styleId="Index1">
    <w:name w:val="index 1"/>
    <w:basedOn w:val="Normal"/>
    <w:next w:val="Normal"/>
    <w:autoRedefine/>
    <w:uiPriority w:val="99"/>
    <w:unhideWhenUsed/>
    <w:rsid w:val="005A6A74"/>
    <w:pPr>
      <w:ind w:left="220" w:hanging="220"/>
    </w:pPr>
  </w:style>
  <w:style w:type="paragraph" w:styleId="Index2">
    <w:name w:val="index 2"/>
    <w:basedOn w:val="Normal"/>
    <w:next w:val="Normal"/>
    <w:autoRedefine/>
    <w:uiPriority w:val="99"/>
    <w:unhideWhenUsed/>
    <w:rsid w:val="005A6A74"/>
    <w:pPr>
      <w:ind w:left="440" w:hanging="220"/>
    </w:pPr>
  </w:style>
  <w:style w:type="paragraph" w:styleId="Index3">
    <w:name w:val="index 3"/>
    <w:basedOn w:val="Normal"/>
    <w:next w:val="Normal"/>
    <w:autoRedefine/>
    <w:uiPriority w:val="99"/>
    <w:unhideWhenUsed/>
    <w:rsid w:val="005A6A74"/>
    <w:pPr>
      <w:ind w:left="660" w:hanging="220"/>
    </w:pPr>
  </w:style>
  <w:style w:type="paragraph" w:styleId="Index4">
    <w:name w:val="index 4"/>
    <w:basedOn w:val="Normal"/>
    <w:next w:val="Normal"/>
    <w:autoRedefine/>
    <w:uiPriority w:val="99"/>
    <w:unhideWhenUsed/>
    <w:rsid w:val="005A6A74"/>
    <w:pPr>
      <w:ind w:left="880" w:hanging="220"/>
    </w:pPr>
  </w:style>
  <w:style w:type="paragraph" w:styleId="Index6">
    <w:name w:val="index 6"/>
    <w:basedOn w:val="Normal"/>
    <w:next w:val="Normal"/>
    <w:autoRedefine/>
    <w:uiPriority w:val="99"/>
    <w:unhideWhenUsed/>
    <w:rsid w:val="005A6A74"/>
    <w:pPr>
      <w:ind w:left="1320" w:hanging="220"/>
    </w:pPr>
  </w:style>
  <w:style w:type="paragraph" w:styleId="Index5">
    <w:name w:val="index 5"/>
    <w:basedOn w:val="Normal"/>
    <w:next w:val="Normal"/>
    <w:autoRedefine/>
    <w:uiPriority w:val="99"/>
    <w:unhideWhenUsed/>
    <w:rsid w:val="005A6A74"/>
    <w:pPr>
      <w:ind w:left="1100" w:hanging="220"/>
    </w:pPr>
  </w:style>
  <w:style w:type="paragraph" w:styleId="Index7">
    <w:name w:val="index 7"/>
    <w:basedOn w:val="Normal"/>
    <w:next w:val="Normal"/>
    <w:autoRedefine/>
    <w:uiPriority w:val="99"/>
    <w:unhideWhenUsed/>
    <w:rsid w:val="005A6A74"/>
    <w:pPr>
      <w:ind w:left="1540" w:hanging="220"/>
    </w:pPr>
  </w:style>
  <w:style w:type="paragraph" w:styleId="Index8">
    <w:name w:val="index 8"/>
    <w:basedOn w:val="Normal"/>
    <w:next w:val="Normal"/>
    <w:autoRedefine/>
    <w:uiPriority w:val="99"/>
    <w:unhideWhenUsed/>
    <w:rsid w:val="005A6A74"/>
    <w:pPr>
      <w:ind w:left="1760" w:hanging="220"/>
    </w:pPr>
  </w:style>
  <w:style w:type="paragraph" w:styleId="Index9">
    <w:name w:val="index 9"/>
    <w:basedOn w:val="Normal"/>
    <w:next w:val="Normal"/>
    <w:autoRedefine/>
    <w:uiPriority w:val="99"/>
    <w:unhideWhenUsed/>
    <w:rsid w:val="005A6A74"/>
    <w:pPr>
      <w:ind w:left="1980" w:hanging="220"/>
    </w:pPr>
  </w:style>
  <w:style w:type="paragraph" w:styleId="IndexHeading">
    <w:name w:val="index heading"/>
    <w:basedOn w:val="Normal"/>
    <w:next w:val="Index1"/>
    <w:uiPriority w:val="99"/>
    <w:unhideWhenUsed/>
    <w:rsid w:val="005A6A74"/>
    <w:rPr>
      <w:rFonts w:asciiTheme="majorHAnsi" w:eastAsia="Times New Roman" w:hAnsiTheme="majorHAnsi"/>
      <w:b/>
      <w:bCs/>
    </w:rPr>
  </w:style>
  <w:style w:type="character" w:styleId="LineNumber">
    <w:name w:val="line number"/>
    <w:basedOn w:val="DefaultParagraphFont"/>
    <w:uiPriority w:val="99"/>
    <w:unhideWhenUsed/>
    <w:rsid w:val="005A6A74"/>
  </w:style>
  <w:style w:type="paragraph" w:styleId="List">
    <w:name w:val="List"/>
    <w:basedOn w:val="Normal"/>
    <w:uiPriority w:val="99"/>
    <w:unhideWhenUsed/>
    <w:rsid w:val="005A6A74"/>
    <w:pPr>
      <w:ind w:left="360" w:hanging="360"/>
      <w:contextualSpacing/>
    </w:pPr>
  </w:style>
  <w:style w:type="paragraph" w:styleId="List2">
    <w:name w:val="List 2"/>
    <w:basedOn w:val="Normal"/>
    <w:uiPriority w:val="99"/>
    <w:unhideWhenUsed/>
    <w:rsid w:val="005A6A74"/>
    <w:pPr>
      <w:ind w:left="720" w:hanging="360"/>
      <w:contextualSpacing/>
    </w:pPr>
  </w:style>
  <w:style w:type="paragraph" w:styleId="List3">
    <w:name w:val="List 3"/>
    <w:basedOn w:val="Normal"/>
    <w:uiPriority w:val="99"/>
    <w:unhideWhenUsed/>
    <w:rsid w:val="005A6A74"/>
    <w:pPr>
      <w:ind w:left="1080" w:hanging="360"/>
      <w:contextualSpacing/>
    </w:pPr>
  </w:style>
  <w:style w:type="paragraph" w:styleId="List4">
    <w:name w:val="List 4"/>
    <w:basedOn w:val="Normal"/>
    <w:uiPriority w:val="99"/>
    <w:unhideWhenUsed/>
    <w:rsid w:val="005A6A74"/>
    <w:pPr>
      <w:ind w:left="1440" w:hanging="360"/>
      <w:contextualSpacing/>
    </w:pPr>
  </w:style>
  <w:style w:type="paragraph" w:styleId="List5">
    <w:name w:val="List 5"/>
    <w:basedOn w:val="Normal"/>
    <w:uiPriority w:val="99"/>
    <w:unhideWhenUsed/>
    <w:rsid w:val="005A6A74"/>
    <w:pPr>
      <w:ind w:left="1800" w:hanging="360"/>
      <w:contextualSpacing/>
    </w:pPr>
  </w:style>
  <w:style w:type="paragraph" w:styleId="ListBullet">
    <w:name w:val="List Bullet"/>
    <w:basedOn w:val="Normal"/>
    <w:uiPriority w:val="99"/>
    <w:unhideWhenUsed/>
    <w:qFormat/>
    <w:rsid w:val="005A6A74"/>
    <w:pPr>
      <w:numPr>
        <w:numId w:val="1"/>
      </w:numPr>
      <w:ind w:left="720" w:hanging="288"/>
    </w:pPr>
  </w:style>
  <w:style w:type="paragraph" w:styleId="ListBullet2">
    <w:name w:val="List Bullet 2"/>
    <w:basedOn w:val="Normal"/>
    <w:uiPriority w:val="99"/>
    <w:unhideWhenUsed/>
    <w:rsid w:val="005A6A74"/>
    <w:pPr>
      <w:numPr>
        <w:numId w:val="3"/>
      </w:numPr>
      <w:ind w:left="1008" w:hanging="288"/>
    </w:pPr>
  </w:style>
  <w:style w:type="paragraph" w:styleId="ListBullet3">
    <w:name w:val="List Bullet 3"/>
    <w:basedOn w:val="Normal"/>
    <w:uiPriority w:val="99"/>
    <w:unhideWhenUsed/>
    <w:rsid w:val="005A6A74"/>
    <w:pPr>
      <w:numPr>
        <w:numId w:val="4"/>
      </w:numPr>
      <w:ind w:left="1440"/>
      <w:contextualSpacing/>
    </w:pPr>
  </w:style>
  <w:style w:type="paragraph" w:styleId="ListBullet4">
    <w:name w:val="List Bullet 4"/>
    <w:basedOn w:val="Normal"/>
    <w:uiPriority w:val="99"/>
    <w:unhideWhenUsed/>
    <w:rsid w:val="005A6A74"/>
    <w:pPr>
      <w:numPr>
        <w:numId w:val="5"/>
      </w:numPr>
      <w:contextualSpacing/>
    </w:pPr>
  </w:style>
  <w:style w:type="paragraph" w:styleId="ListContinue">
    <w:name w:val="List Continue"/>
    <w:basedOn w:val="Normal"/>
    <w:uiPriority w:val="99"/>
    <w:unhideWhenUsed/>
    <w:rsid w:val="005A6A74"/>
    <w:pPr>
      <w:spacing w:after="120"/>
      <w:ind w:left="360"/>
      <w:contextualSpacing/>
    </w:pPr>
  </w:style>
  <w:style w:type="paragraph" w:styleId="ListContinue2">
    <w:name w:val="List Continue 2"/>
    <w:basedOn w:val="Normal"/>
    <w:uiPriority w:val="99"/>
    <w:unhideWhenUsed/>
    <w:rsid w:val="005A6A74"/>
    <w:pPr>
      <w:spacing w:after="120"/>
      <w:ind w:left="720"/>
      <w:contextualSpacing/>
    </w:pPr>
  </w:style>
  <w:style w:type="paragraph" w:styleId="ListContinue3">
    <w:name w:val="List Continue 3"/>
    <w:basedOn w:val="Normal"/>
    <w:uiPriority w:val="99"/>
    <w:unhideWhenUsed/>
    <w:rsid w:val="005A6A74"/>
    <w:pPr>
      <w:spacing w:after="120"/>
      <w:ind w:left="1080"/>
      <w:contextualSpacing/>
    </w:pPr>
  </w:style>
  <w:style w:type="paragraph" w:styleId="ListContinue4">
    <w:name w:val="List Continue 4"/>
    <w:basedOn w:val="Normal"/>
    <w:uiPriority w:val="99"/>
    <w:unhideWhenUsed/>
    <w:rsid w:val="005A6A74"/>
    <w:pPr>
      <w:spacing w:after="120"/>
      <w:ind w:left="1440"/>
      <w:contextualSpacing/>
    </w:pPr>
  </w:style>
  <w:style w:type="paragraph" w:styleId="ListContinue5">
    <w:name w:val="List Continue 5"/>
    <w:basedOn w:val="Normal"/>
    <w:uiPriority w:val="99"/>
    <w:unhideWhenUsed/>
    <w:rsid w:val="005A6A74"/>
    <w:pPr>
      <w:spacing w:after="120"/>
      <w:ind w:left="1800"/>
      <w:contextualSpacing/>
    </w:pPr>
  </w:style>
  <w:style w:type="paragraph" w:styleId="ListNumber">
    <w:name w:val="List Number"/>
    <w:basedOn w:val="Normal"/>
    <w:uiPriority w:val="99"/>
    <w:unhideWhenUsed/>
    <w:rsid w:val="005A6A74"/>
    <w:pPr>
      <w:numPr>
        <w:numId w:val="2"/>
      </w:numPr>
      <w:contextualSpacing/>
    </w:pPr>
  </w:style>
  <w:style w:type="paragraph" w:styleId="ListNumber2">
    <w:name w:val="List Number 2"/>
    <w:basedOn w:val="Normal"/>
    <w:uiPriority w:val="99"/>
    <w:unhideWhenUsed/>
    <w:rsid w:val="005A6A74"/>
    <w:pPr>
      <w:numPr>
        <w:numId w:val="6"/>
      </w:numPr>
      <w:contextualSpacing/>
    </w:pPr>
  </w:style>
  <w:style w:type="paragraph" w:styleId="ListNumber3">
    <w:name w:val="List Number 3"/>
    <w:basedOn w:val="Normal"/>
    <w:uiPriority w:val="99"/>
    <w:unhideWhenUsed/>
    <w:rsid w:val="005A6A74"/>
    <w:pPr>
      <w:numPr>
        <w:numId w:val="7"/>
      </w:numPr>
      <w:contextualSpacing/>
    </w:pPr>
  </w:style>
  <w:style w:type="paragraph" w:styleId="ListNumber4">
    <w:name w:val="List Number 4"/>
    <w:basedOn w:val="Normal"/>
    <w:uiPriority w:val="99"/>
    <w:unhideWhenUsed/>
    <w:rsid w:val="005A6A74"/>
    <w:pPr>
      <w:numPr>
        <w:numId w:val="8"/>
      </w:numPr>
      <w:contextualSpacing/>
    </w:pPr>
  </w:style>
  <w:style w:type="paragraph" w:styleId="ListNumber5">
    <w:name w:val="List Number 5"/>
    <w:basedOn w:val="Normal"/>
    <w:uiPriority w:val="99"/>
    <w:unhideWhenUsed/>
    <w:rsid w:val="005A6A74"/>
    <w:pPr>
      <w:numPr>
        <w:numId w:val="9"/>
      </w:numPr>
      <w:contextualSpacing/>
    </w:pPr>
  </w:style>
  <w:style w:type="paragraph" w:styleId="MacroText">
    <w:name w:val="macro"/>
    <w:link w:val="MacroTextChar"/>
    <w:uiPriority w:val="99"/>
    <w:unhideWhenUsed/>
    <w:rsid w:val="005A6A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A6A74"/>
    <w:rPr>
      <w:rFonts w:ascii="Consolas" w:hAnsi="Consolas"/>
    </w:rPr>
  </w:style>
  <w:style w:type="paragraph" w:styleId="MessageHeader">
    <w:name w:val="Message Header"/>
    <w:basedOn w:val="Normal"/>
    <w:link w:val="MessageHeaderChar"/>
    <w:uiPriority w:val="99"/>
    <w:unhideWhenUsed/>
    <w:rsid w:val="005A6A7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A6A7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A6A74"/>
    <w:rPr>
      <w:rFonts w:ascii="Times New Roman" w:hAnsi="Times New Roman"/>
      <w:szCs w:val="24"/>
    </w:rPr>
  </w:style>
  <w:style w:type="paragraph" w:styleId="NormalIndent">
    <w:name w:val="Normal Indent"/>
    <w:basedOn w:val="Normal"/>
    <w:uiPriority w:val="99"/>
    <w:unhideWhenUsed/>
    <w:rsid w:val="005A6A74"/>
    <w:pPr>
      <w:ind w:left="720"/>
    </w:pPr>
  </w:style>
  <w:style w:type="paragraph" w:styleId="NoteHeading">
    <w:name w:val="Note Heading"/>
    <w:basedOn w:val="Normal"/>
    <w:next w:val="Normal"/>
    <w:link w:val="NoteHeadingChar"/>
    <w:uiPriority w:val="99"/>
    <w:unhideWhenUsed/>
    <w:rsid w:val="005A6A74"/>
  </w:style>
  <w:style w:type="character" w:customStyle="1" w:styleId="NoteHeadingChar">
    <w:name w:val="Note Heading Char"/>
    <w:basedOn w:val="DefaultParagraphFont"/>
    <w:link w:val="NoteHeading"/>
    <w:uiPriority w:val="99"/>
    <w:rsid w:val="005A6A74"/>
    <w:rPr>
      <w:rFonts w:ascii="Source Sans Pro" w:hAnsi="Source Sans Pro"/>
      <w:sz w:val="24"/>
      <w:szCs w:val="22"/>
    </w:rPr>
  </w:style>
  <w:style w:type="character" w:styleId="PageNumber">
    <w:name w:val="page number"/>
    <w:basedOn w:val="DefaultParagraphFont"/>
    <w:uiPriority w:val="99"/>
    <w:unhideWhenUsed/>
    <w:rsid w:val="005A6A74"/>
  </w:style>
  <w:style w:type="character" w:styleId="PlaceholderText">
    <w:name w:val="Placeholder Text"/>
    <w:basedOn w:val="DefaultParagraphFont"/>
    <w:uiPriority w:val="99"/>
    <w:semiHidden/>
    <w:rsid w:val="005A6A74"/>
    <w:rPr>
      <w:color w:val="808080"/>
    </w:rPr>
  </w:style>
  <w:style w:type="paragraph" w:styleId="PlainText">
    <w:name w:val="Plain Text"/>
    <w:basedOn w:val="Normal"/>
    <w:link w:val="PlainTextChar"/>
    <w:uiPriority w:val="99"/>
    <w:unhideWhenUsed/>
    <w:rsid w:val="005A6A74"/>
    <w:rPr>
      <w:rFonts w:ascii="Consolas" w:hAnsi="Consolas"/>
      <w:sz w:val="21"/>
      <w:szCs w:val="21"/>
    </w:rPr>
  </w:style>
  <w:style w:type="character" w:customStyle="1" w:styleId="PlainTextChar">
    <w:name w:val="Plain Text Char"/>
    <w:basedOn w:val="DefaultParagraphFont"/>
    <w:link w:val="PlainText"/>
    <w:uiPriority w:val="99"/>
    <w:rsid w:val="005A6A74"/>
    <w:rPr>
      <w:rFonts w:ascii="Consolas" w:hAnsi="Consolas"/>
      <w:sz w:val="21"/>
      <w:szCs w:val="21"/>
    </w:rPr>
  </w:style>
  <w:style w:type="paragraph" w:styleId="Salutation">
    <w:name w:val="Salutation"/>
    <w:basedOn w:val="Normal"/>
    <w:next w:val="Normal"/>
    <w:link w:val="SalutationChar"/>
    <w:uiPriority w:val="99"/>
    <w:unhideWhenUsed/>
    <w:rsid w:val="005A6A74"/>
  </w:style>
  <w:style w:type="character" w:customStyle="1" w:styleId="SalutationChar">
    <w:name w:val="Salutation Char"/>
    <w:basedOn w:val="DefaultParagraphFont"/>
    <w:link w:val="Salutation"/>
    <w:uiPriority w:val="99"/>
    <w:rsid w:val="005A6A74"/>
    <w:rPr>
      <w:rFonts w:ascii="Source Sans Pro" w:hAnsi="Source Sans Pro"/>
      <w:sz w:val="24"/>
      <w:szCs w:val="22"/>
    </w:rPr>
  </w:style>
  <w:style w:type="paragraph" w:styleId="Signature">
    <w:name w:val="Signature"/>
    <w:basedOn w:val="Normal"/>
    <w:link w:val="SignatureChar"/>
    <w:uiPriority w:val="99"/>
    <w:unhideWhenUsed/>
    <w:rsid w:val="005A6A74"/>
    <w:pPr>
      <w:ind w:left="4320"/>
    </w:pPr>
  </w:style>
  <w:style w:type="character" w:customStyle="1" w:styleId="SignatureChar">
    <w:name w:val="Signature Char"/>
    <w:basedOn w:val="DefaultParagraphFont"/>
    <w:link w:val="Signature"/>
    <w:uiPriority w:val="99"/>
    <w:rsid w:val="005A6A74"/>
    <w:rPr>
      <w:rFonts w:ascii="Source Sans Pro" w:hAnsi="Source Sans Pro"/>
      <w:sz w:val="24"/>
      <w:szCs w:val="22"/>
    </w:rPr>
  </w:style>
  <w:style w:type="paragraph" w:styleId="TableofAuthorities">
    <w:name w:val="table of authorities"/>
    <w:basedOn w:val="Normal"/>
    <w:next w:val="Normal"/>
    <w:uiPriority w:val="99"/>
    <w:unhideWhenUsed/>
    <w:rsid w:val="005A6A74"/>
    <w:pPr>
      <w:ind w:left="220" w:hanging="220"/>
    </w:pPr>
  </w:style>
  <w:style w:type="paragraph" w:styleId="TableofFigures">
    <w:name w:val="table of figures"/>
    <w:basedOn w:val="Normal"/>
    <w:next w:val="Normal"/>
    <w:uiPriority w:val="99"/>
    <w:unhideWhenUsed/>
    <w:rsid w:val="005A6A74"/>
  </w:style>
  <w:style w:type="character" w:customStyle="1" w:styleId="Title1Char">
    <w:name w:val="Title 1 Char"/>
    <w:basedOn w:val="DefaultParagraphFont"/>
    <w:link w:val="Title1"/>
    <w:rsid w:val="005A6A7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A6A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A6A7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A6A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A6A7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A6A74"/>
    <w:pPr>
      <w:tabs>
        <w:tab w:val="right" w:pos="8460"/>
      </w:tabs>
      <w:spacing w:line="600" w:lineRule="auto"/>
    </w:pPr>
  </w:style>
  <w:style w:type="paragraph" w:customStyle="1" w:styleId="ListForm">
    <w:name w:val="List Form"/>
    <w:basedOn w:val="List"/>
    <w:rsid w:val="005A6A74"/>
    <w:pPr>
      <w:spacing w:before="240"/>
    </w:pPr>
  </w:style>
  <w:style w:type="paragraph" w:customStyle="1" w:styleId="TableHead1">
    <w:name w:val="Table Head 1"/>
    <w:basedOn w:val="Normal"/>
    <w:qFormat/>
    <w:rsid w:val="005A6A7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A6A7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A6A74"/>
    <w:pPr>
      <w:spacing w:before="0" w:after="0"/>
      <w:ind w:left="432"/>
    </w:pPr>
  </w:style>
  <w:style w:type="paragraph" w:customStyle="1" w:styleId="AssumptionsBody">
    <w:name w:val="Assumptions Body"/>
    <w:basedOn w:val="Normal"/>
    <w:rsid w:val="005A6A74"/>
    <w:pPr>
      <w:ind w:left="288"/>
    </w:pPr>
    <w:rPr>
      <w:sz w:val="18"/>
    </w:rPr>
  </w:style>
  <w:style w:type="paragraph" w:customStyle="1" w:styleId="hypotheticalillustration">
    <w:name w:val="hypothetical illustration"/>
    <w:basedOn w:val="Normal"/>
    <w:rsid w:val="005A6A74"/>
    <w:pPr>
      <w:jc w:val="center"/>
    </w:pPr>
    <w:rPr>
      <w:sz w:val="20"/>
    </w:rPr>
  </w:style>
  <w:style w:type="table" w:customStyle="1" w:styleId="echoWealthMonopoly">
    <w:name w:val="echoWealth Monopoly"/>
    <w:basedOn w:val="TableNormal"/>
    <w:uiPriority w:val="99"/>
    <w:qFormat/>
    <w:rsid w:val="005A6A7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A6A7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A6A7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A6A74"/>
    <w:rPr>
      <w:rFonts w:ascii="Roboto Slab Regular" w:hAnsi="Roboto Slab Regular"/>
      <w:color w:val="344373"/>
      <w:sz w:val="36"/>
      <w:szCs w:val="36"/>
    </w:rPr>
  </w:style>
  <w:style w:type="paragraph" w:customStyle="1" w:styleId="ListAlpha">
    <w:name w:val="List Alpha"/>
    <w:basedOn w:val="ListBullet"/>
    <w:rsid w:val="005A6A74"/>
    <w:pPr>
      <w:numPr>
        <w:numId w:val="10"/>
      </w:numPr>
    </w:pPr>
  </w:style>
  <w:style w:type="table" w:customStyle="1" w:styleId="NewStyle2014">
    <w:name w:val="New Style 2014"/>
    <w:basedOn w:val="TableNormal"/>
    <w:uiPriority w:val="99"/>
    <w:qFormat/>
    <w:rsid w:val="005A6A7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A6A7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A6A74"/>
    <w:rPr>
      <w:rFonts w:ascii="Source Sans Pro Semibold" w:hAnsi="Source Sans Pro Semibold" w:cstheme="minorHAnsi"/>
      <w:color w:val="FFFFFF" w:themeColor="background1"/>
    </w:rPr>
  </w:style>
  <w:style w:type="paragraph" w:customStyle="1" w:styleId="Body">
    <w:name w:val="Body"/>
    <w:basedOn w:val="Normal"/>
    <w:link w:val="BodyChar"/>
    <w:qFormat/>
    <w:rsid w:val="005A6A74"/>
    <w:rPr>
      <w:szCs w:val="24"/>
    </w:rPr>
  </w:style>
  <w:style w:type="character" w:customStyle="1" w:styleId="BodyChar">
    <w:name w:val="Body Char"/>
    <w:basedOn w:val="DefaultParagraphFont"/>
    <w:link w:val="Body"/>
    <w:rsid w:val="005A6A74"/>
    <w:rPr>
      <w:rFonts w:ascii="Source Sans Pro" w:hAnsi="Source Sans Pro"/>
      <w:sz w:val="24"/>
      <w:szCs w:val="24"/>
    </w:rPr>
  </w:style>
  <w:style w:type="paragraph" w:customStyle="1" w:styleId="TableTitle1">
    <w:name w:val="Table Title 1"/>
    <w:basedOn w:val="Heading1"/>
    <w:link w:val="TableTitle1Char"/>
    <w:qFormat/>
    <w:rsid w:val="005A6A74"/>
    <w:pPr>
      <w:jc w:val="center"/>
    </w:pPr>
    <w:rPr>
      <w:color w:val="344373"/>
    </w:rPr>
  </w:style>
  <w:style w:type="character" w:customStyle="1" w:styleId="TableTitle1Char">
    <w:name w:val="Table Title 1 Char"/>
    <w:basedOn w:val="Heading1Char"/>
    <w:link w:val="TableTitle1"/>
    <w:rsid w:val="005A6A7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A6A7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A6A74"/>
    <w:rPr>
      <w:rFonts w:ascii="Source Sans Pro Semibold" w:hAnsi="Source Sans Pro Semibold"/>
      <w:color w:val="344373"/>
      <w:sz w:val="24"/>
      <w:szCs w:val="24"/>
    </w:rPr>
  </w:style>
  <w:style w:type="paragraph" w:customStyle="1" w:styleId="Footnote">
    <w:name w:val="Footnote"/>
    <w:basedOn w:val="FootnoteText"/>
    <w:link w:val="FootnoteChar"/>
    <w:qFormat/>
    <w:rsid w:val="005A6A74"/>
    <w:pPr>
      <w:spacing w:line="240" w:lineRule="auto"/>
      <w:ind w:left="101" w:hanging="101"/>
      <w:jc w:val="both"/>
    </w:pPr>
    <w:rPr>
      <w:szCs w:val="18"/>
    </w:rPr>
  </w:style>
  <w:style w:type="character" w:customStyle="1" w:styleId="FootnoteChar">
    <w:name w:val="Footnote Char"/>
    <w:basedOn w:val="FootnoteTextChar"/>
    <w:link w:val="Footnote"/>
    <w:rsid w:val="005A6A74"/>
    <w:rPr>
      <w:rFonts w:ascii="Source Sans Pro" w:hAnsi="Source Sans Pro"/>
      <w:sz w:val="18"/>
      <w:szCs w:val="18"/>
    </w:rPr>
  </w:style>
  <w:style w:type="paragraph" w:customStyle="1" w:styleId="TableBody">
    <w:name w:val="Table Body"/>
    <w:basedOn w:val="Normal"/>
    <w:qFormat/>
    <w:rsid w:val="005A6A74"/>
    <w:pPr>
      <w:spacing w:before="0" w:after="0"/>
    </w:pPr>
    <w:rPr>
      <w:sz w:val="20"/>
      <w:szCs w:val="20"/>
    </w:rPr>
  </w:style>
  <w:style w:type="paragraph" w:customStyle="1" w:styleId="TableBodyStrong">
    <w:name w:val="Table Body Strong"/>
    <w:basedOn w:val="TableBody"/>
    <w:qFormat/>
    <w:rsid w:val="005A6A7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A6A74"/>
    <w:rPr>
      <w:sz w:val="26"/>
    </w:rPr>
  </w:style>
  <w:style w:type="paragraph" w:customStyle="1" w:styleId="NUHeading3">
    <w:name w:val="NUHeading3"/>
    <w:basedOn w:val="NUHeading2"/>
    <w:link w:val="NUHeading3Char"/>
    <w:qFormat/>
    <w:rsid w:val="005A6A74"/>
    <w:rPr>
      <w:sz w:val="24"/>
    </w:rPr>
  </w:style>
  <w:style w:type="character" w:customStyle="1" w:styleId="NUHeading2Char">
    <w:name w:val="NUHeading2 Char"/>
    <w:basedOn w:val="Heading2Char"/>
    <w:link w:val="NUHeading2"/>
    <w:rsid w:val="005A6A7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A6A74"/>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5A6A74"/>
    <w:pPr>
      <w:spacing w:before="120"/>
    </w:pPr>
    <w:rPr>
      <w:rFonts w:asciiTheme="majorHAnsi" w:eastAsia="Times New Roman" w:hAnsiTheme="majorHAns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6A7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A6A7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A6A74"/>
    <w:pPr>
      <w:outlineLvl w:val="1"/>
    </w:pPr>
  </w:style>
  <w:style w:type="paragraph" w:styleId="Heading3">
    <w:name w:val="heading 3"/>
    <w:basedOn w:val="TableTitle1"/>
    <w:next w:val="Normal"/>
    <w:link w:val="Heading3Char"/>
    <w:unhideWhenUsed/>
    <w:rsid w:val="005A6A74"/>
    <w:pPr>
      <w:outlineLvl w:val="2"/>
    </w:pPr>
  </w:style>
  <w:style w:type="paragraph" w:styleId="Heading4">
    <w:name w:val="heading 4"/>
    <w:basedOn w:val="Heading3"/>
    <w:next w:val="Normal"/>
    <w:link w:val="Heading4Char"/>
    <w:unhideWhenUsed/>
    <w:locked/>
    <w:rsid w:val="005A6A74"/>
    <w:pPr>
      <w:outlineLvl w:val="3"/>
    </w:pPr>
  </w:style>
  <w:style w:type="paragraph" w:styleId="Heading5">
    <w:name w:val="heading 5"/>
    <w:basedOn w:val="Heading4"/>
    <w:next w:val="Normal"/>
    <w:link w:val="Heading5Char"/>
    <w:unhideWhenUsed/>
    <w:locked/>
    <w:rsid w:val="005A6A74"/>
    <w:pPr>
      <w:outlineLvl w:val="4"/>
    </w:pPr>
  </w:style>
  <w:style w:type="paragraph" w:styleId="Heading6">
    <w:name w:val="heading 6"/>
    <w:basedOn w:val="Heading5"/>
    <w:next w:val="Normal"/>
    <w:link w:val="Heading6Char"/>
    <w:unhideWhenUsed/>
    <w:locked/>
    <w:rsid w:val="005A6A74"/>
    <w:pPr>
      <w:outlineLvl w:val="5"/>
    </w:pPr>
  </w:style>
  <w:style w:type="paragraph" w:styleId="Heading7">
    <w:name w:val="heading 7"/>
    <w:basedOn w:val="Heading6"/>
    <w:next w:val="Normal"/>
    <w:link w:val="Heading7Char"/>
    <w:unhideWhenUsed/>
    <w:locked/>
    <w:rsid w:val="005A6A74"/>
    <w:pPr>
      <w:outlineLvl w:val="6"/>
    </w:pPr>
  </w:style>
  <w:style w:type="paragraph" w:styleId="Heading8">
    <w:name w:val="heading 8"/>
    <w:basedOn w:val="Heading7"/>
    <w:next w:val="Normal"/>
    <w:link w:val="Heading8Char"/>
    <w:unhideWhenUsed/>
    <w:locked/>
    <w:rsid w:val="005A6A74"/>
    <w:pPr>
      <w:outlineLvl w:val="7"/>
    </w:pPr>
  </w:style>
  <w:style w:type="paragraph" w:styleId="Heading9">
    <w:name w:val="heading 9"/>
    <w:basedOn w:val="Heading8"/>
    <w:next w:val="Normal"/>
    <w:link w:val="Heading9Char"/>
    <w:unhideWhenUsed/>
    <w:locked/>
    <w:rsid w:val="005A6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A6A74"/>
  </w:style>
  <w:style w:type="character" w:customStyle="1" w:styleId="E-mailSignatureChar">
    <w:name w:val="E-mail Signature Char"/>
    <w:basedOn w:val="DefaultParagraphFont"/>
    <w:link w:val="E-mailSignature"/>
    <w:uiPriority w:val="99"/>
    <w:rsid w:val="005A6A74"/>
    <w:rPr>
      <w:rFonts w:ascii="Source Sans Pro" w:hAnsi="Source Sans Pro"/>
      <w:sz w:val="24"/>
      <w:szCs w:val="22"/>
    </w:rPr>
  </w:style>
  <w:style w:type="character" w:styleId="Hyperlink">
    <w:name w:val="Hyperlink"/>
    <w:basedOn w:val="DefaultParagraphFont"/>
    <w:uiPriority w:val="99"/>
    <w:unhideWhenUsed/>
    <w:rsid w:val="005A6A74"/>
    <w:rPr>
      <w:color w:val="0000FF"/>
      <w:u w:val="single"/>
    </w:rPr>
  </w:style>
  <w:style w:type="paragraph" w:styleId="ListBullet5">
    <w:name w:val="List Bullet 5"/>
    <w:basedOn w:val="Normal"/>
    <w:uiPriority w:val="99"/>
    <w:unhideWhenUsed/>
    <w:rsid w:val="005A6A74"/>
    <w:pPr>
      <w:tabs>
        <w:tab w:val="num" w:pos="1800"/>
      </w:tabs>
      <w:ind w:left="1800" w:hanging="360"/>
      <w:contextualSpacing/>
    </w:pPr>
  </w:style>
  <w:style w:type="paragraph" w:styleId="NoSpacing">
    <w:name w:val="No Spacing"/>
    <w:uiPriority w:val="1"/>
    <w:rsid w:val="005A6A74"/>
    <w:rPr>
      <w:rFonts w:ascii="Source Sans Pro" w:hAnsi="Source Sans Pro"/>
      <w:szCs w:val="22"/>
    </w:rPr>
  </w:style>
  <w:style w:type="character" w:customStyle="1" w:styleId="Heading1Char">
    <w:name w:val="Heading 1 Char"/>
    <w:basedOn w:val="DefaultParagraphFont"/>
    <w:link w:val="Heading1"/>
    <w:uiPriority w:val="9"/>
    <w:rsid w:val="005A6A7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A6A7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A6A7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A6A7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A6A7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A6A7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A6A7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A6A7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A6A7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A6A7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A6A7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A6A74"/>
    <w:rPr>
      <w:i/>
      <w:iCs/>
      <w:color w:val="7F7F7F" w:themeColor="text1" w:themeTint="80"/>
    </w:rPr>
  </w:style>
  <w:style w:type="character" w:styleId="Emphasis">
    <w:name w:val="Emphasis"/>
    <w:basedOn w:val="DefaultParagraphFont"/>
    <w:uiPriority w:val="20"/>
    <w:rsid w:val="005A6A74"/>
    <w:rPr>
      <w:i/>
      <w:iCs/>
    </w:rPr>
  </w:style>
  <w:style w:type="table" w:styleId="TableGrid">
    <w:name w:val="Table Grid"/>
    <w:basedOn w:val="TableNormal"/>
    <w:uiPriority w:val="59"/>
    <w:rsid w:val="005A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6A7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A6A74"/>
    <w:rPr>
      <w:i/>
      <w:iCs/>
      <w:color w:val="000000" w:themeColor="text1"/>
    </w:rPr>
  </w:style>
  <w:style w:type="character" w:customStyle="1" w:styleId="QuoteChar">
    <w:name w:val="Quote Char"/>
    <w:basedOn w:val="DefaultParagraphFont"/>
    <w:link w:val="Quote"/>
    <w:uiPriority w:val="29"/>
    <w:rsid w:val="005A6A7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A6A7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A6A74"/>
    <w:rPr>
      <w:rFonts w:ascii="Source Sans Pro" w:hAnsi="Source Sans Pro"/>
      <w:b/>
      <w:bCs/>
      <w:i/>
      <w:iCs/>
      <w:color w:val="9BBB59" w:themeColor="accent4"/>
      <w:sz w:val="24"/>
      <w:szCs w:val="22"/>
    </w:rPr>
  </w:style>
  <w:style w:type="paragraph" w:customStyle="1" w:styleId="Title1">
    <w:name w:val="Title 1"/>
    <w:basedOn w:val="Normal"/>
    <w:link w:val="Title1Char"/>
    <w:qFormat/>
    <w:rsid w:val="005A6A7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A6A74"/>
    <w:rPr>
      <w:b/>
      <w:bCs/>
      <w:smallCaps/>
      <w:color w:val="C0504D" w:themeColor="accent2"/>
      <w:spacing w:val="5"/>
      <w:u w:val="single"/>
    </w:rPr>
  </w:style>
  <w:style w:type="character" w:styleId="BookTitle">
    <w:name w:val="Book Title"/>
    <w:basedOn w:val="DefaultParagraphFont"/>
    <w:uiPriority w:val="33"/>
    <w:rsid w:val="005A6A74"/>
    <w:rPr>
      <w:b/>
      <w:bCs/>
      <w:smallCaps/>
      <w:spacing w:val="5"/>
    </w:rPr>
  </w:style>
  <w:style w:type="paragraph" w:styleId="ListParagraph">
    <w:name w:val="List Paragraph"/>
    <w:basedOn w:val="Normal"/>
    <w:uiPriority w:val="34"/>
    <w:rsid w:val="005A6A74"/>
    <w:pPr>
      <w:ind w:left="720"/>
      <w:contextualSpacing/>
    </w:pPr>
  </w:style>
  <w:style w:type="paragraph" w:styleId="Caption">
    <w:name w:val="caption"/>
    <w:basedOn w:val="Normal"/>
    <w:next w:val="Normal"/>
    <w:uiPriority w:val="35"/>
    <w:unhideWhenUsed/>
    <w:rsid w:val="005A6A74"/>
    <w:rPr>
      <w:b/>
      <w:bCs/>
      <w:color w:val="C5DBF2" w:themeColor="accent5" w:themeShade="E6"/>
      <w:sz w:val="18"/>
      <w:szCs w:val="18"/>
    </w:rPr>
  </w:style>
  <w:style w:type="paragraph" w:styleId="Bibliography">
    <w:name w:val="Bibliography"/>
    <w:basedOn w:val="Normal"/>
    <w:next w:val="Normal"/>
    <w:uiPriority w:val="37"/>
    <w:unhideWhenUsed/>
    <w:rsid w:val="005A6A74"/>
  </w:style>
  <w:style w:type="paragraph" w:styleId="TOC1">
    <w:name w:val="toc 1"/>
    <w:basedOn w:val="Normal"/>
    <w:next w:val="Normal"/>
    <w:autoRedefine/>
    <w:uiPriority w:val="39"/>
    <w:unhideWhenUsed/>
    <w:rsid w:val="005A6A74"/>
    <w:pPr>
      <w:spacing w:after="100"/>
    </w:pPr>
  </w:style>
  <w:style w:type="paragraph" w:styleId="TOC2">
    <w:name w:val="toc 2"/>
    <w:basedOn w:val="Normal"/>
    <w:next w:val="Normal"/>
    <w:autoRedefine/>
    <w:uiPriority w:val="39"/>
    <w:unhideWhenUsed/>
    <w:rsid w:val="005A6A74"/>
    <w:pPr>
      <w:spacing w:after="100"/>
      <w:ind w:left="220"/>
    </w:pPr>
  </w:style>
  <w:style w:type="paragraph" w:styleId="TOC3">
    <w:name w:val="toc 3"/>
    <w:basedOn w:val="Normal"/>
    <w:next w:val="Normal"/>
    <w:autoRedefine/>
    <w:uiPriority w:val="39"/>
    <w:unhideWhenUsed/>
    <w:rsid w:val="005A6A74"/>
    <w:pPr>
      <w:spacing w:after="100"/>
      <w:ind w:left="440"/>
    </w:pPr>
  </w:style>
  <w:style w:type="paragraph" w:styleId="TOC4">
    <w:name w:val="toc 4"/>
    <w:basedOn w:val="Normal"/>
    <w:next w:val="Normal"/>
    <w:autoRedefine/>
    <w:uiPriority w:val="39"/>
    <w:unhideWhenUsed/>
    <w:rsid w:val="005A6A74"/>
    <w:pPr>
      <w:spacing w:after="100"/>
      <w:ind w:left="660"/>
    </w:pPr>
  </w:style>
  <w:style w:type="paragraph" w:styleId="TOC5">
    <w:name w:val="toc 5"/>
    <w:basedOn w:val="Normal"/>
    <w:next w:val="Normal"/>
    <w:autoRedefine/>
    <w:uiPriority w:val="39"/>
    <w:unhideWhenUsed/>
    <w:rsid w:val="005A6A74"/>
    <w:pPr>
      <w:spacing w:after="100"/>
      <w:ind w:left="880"/>
    </w:pPr>
  </w:style>
  <w:style w:type="paragraph" w:styleId="TOC6">
    <w:name w:val="toc 6"/>
    <w:basedOn w:val="Normal"/>
    <w:next w:val="Normal"/>
    <w:autoRedefine/>
    <w:uiPriority w:val="39"/>
    <w:unhideWhenUsed/>
    <w:rsid w:val="005A6A74"/>
    <w:pPr>
      <w:spacing w:after="100"/>
      <w:ind w:left="1100"/>
    </w:pPr>
  </w:style>
  <w:style w:type="paragraph" w:styleId="TOC7">
    <w:name w:val="toc 7"/>
    <w:basedOn w:val="Normal"/>
    <w:next w:val="Normal"/>
    <w:autoRedefine/>
    <w:uiPriority w:val="39"/>
    <w:unhideWhenUsed/>
    <w:rsid w:val="005A6A74"/>
    <w:pPr>
      <w:spacing w:after="100"/>
      <w:ind w:left="1320"/>
    </w:pPr>
  </w:style>
  <w:style w:type="paragraph" w:styleId="TOC8">
    <w:name w:val="toc 8"/>
    <w:basedOn w:val="Normal"/>
    <w:next w:val="Normal"/>
    <w:autoRedefine/>
    <w:uiPriority w:val="39"/>
    <w:unhideWhenUsed/>
    <w:rsid w:val="005A6A74"/>
    <w:pPr>
      <w:spacing w:after="100"/>
      <w:ind w:left="1540"/>
    </w:pPr>
  </w:style>
  <w:style w:type="paragraph" w:styleId="TOC9">
    <w:name w:val="toc 9"/>
    <w:basedOn w:val="Normal"/>
    <w:next w:val="Normal"/>
    <w:autoRedefine/>
    <w:uiPriority w:val="39"/>
    <w:unhideWhenUsed/>
    <w:rsid w:val="005A6A74"/>
    <w:pPr>
      <w:spacing w:after="100"/>
      <w:ind w:left="1760"/>
    </w:pPr>
  </w:style>
  <w:style w:type="paragraph" w:styleId="TOCHeading">
    <w:name w:val="TOC Heading"/>
    <w:basedOn w:val="Heading1"/>
    <w:next w:val="Normal"/>
    <w:uiPriority w:val="39"/>
    <w:unhideWhenUsed/>
    <w:rsid w:val="005A6A74"/>
    <w:pPr>
      <w:outlineLvl w:val="9"/>
    </w:pPr>
  </w:style>
  <w:style w:type="paragraph" w:styleId="BalloonText">
    <w:name w:val="Balloon Text"/>
    <w:basedOn w:val="Normal"/>
    <w:link w:val="BalloonTextChar"/>
    <w:uiPriority w:val="99"/>
    <w:unhideWhenUsed/>
    <w:rsid w:val="005A6A74"/>
    <w:rPr>
      <w:rFonts w:cs="Tahoma"/>
      <w:sz w:val="16"/>
      <w:szCs w:val="16"/>
    </w:rPr>
  </w:style>
  <w:style w:type="character" w:customStyle="1" w:styleId="BalloonTextChar">
    <w:name w:val="Balloon Text Char"/>
    <w:basedOn w:val="DefaultParagraphFont"/>
    <w:link w:val="BalloonText"/>
    <w:uiPriority w:val="99"/>
    <w:rsid w:val="005A6A74"/>
    <w:rPr>
      <w:rFonts w:ascii="Source Sans Pro" w:hAnsi="Source Sans Pro" w:cs="Tahoma"/>
      <w:sz w:val="16"/>
      <w:szCs w:val="16"/>
    </w:rPr>
  </w:style>
  <w:style w:type="paragraph" w:styleId="BlockText">
    <w:name w:val="Block Text"/>
    <w:basedOn w:val="Normal"/>
    <w:uiPriority w:val="99"/>
    <w:unhideWhenUsed/>
    <w:rsid w:val="005A6A7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A6A74"/>
    <w:pPr>
      <w:spacing w:after="120"/>
    </w:pPr>
  </w:style>
  <w:style w:type="character" w:customStyle="1" w:styleId="BodyTextChar">
    <w:name w:val="Body Text Char"/>
    <w:basedOn w:val="DefaultParagraphFont"/>
    <w:link w:val="BodyText"/>
    <w:uiPriority w:val="99"/>
    <w:rsid w:val="005A6A74"/>
    <w:rPr>
      <w:rFonts w:ascii="Source Sans Pro" w:hAnsi="Source Sans Pro"/>
      <w:sz w:val="24"/>
      <w:szCs w:val="22"/>
    </w:rPr>
  </w:style>
  <w:style w:type="paragraph" w:styleId="BodyText2">
    <w:name w:val="Body Text 2"/>
    <w:basedOn w:val="Normal"/>
    <w:link w:val="BodyText2Char"/>
    <w:uiPriority w:val="99"/>
    <w:unhideWhenUsed/>
    <w:rsid w:val="005A6A74"/>
    <w:pPr>
      <w:spacing w:after="120" w:line="480" w:lineRule="auto"/>
    </w:pPr>
  </w:style>
  <w:style w:type="character" w:customStyle="1" w:styleId="BodyText2Char">
    <w:name w:val="Body Text 2 Char"/>
    <w:basedOn w:val="DefaultParagraphFont"/>
    <w:link w:val="BodyText2"/>
    <w:uiPriority w:val="99"/>
    <w:rsid w:val="005A6A74"/>
    <w:rPr>
      <w:rFonts w:ascii="Source Sans Pro" w:hAnsi="Source Sans Pro"/>
      <w:sz w:val="24"/>
      <w:szCs w:val="22"/>
    </w:rPr>
  </w:style>
  <w:style w:type="paragraph" w:styleId="BodyText3">
    <w:name w:val="Body Text 3"/>
    <w:basedOn w:val="Normal"/>
    <w:link w:val="BodyText3Char"/>
    <w:uiPriority w:val="99"/>
    <w:unhideWhenUsed/>
    <w:rsid w:val="005A6A74"/>
    <w:pPr>
      <w:spacing w:after="120"/>
    </w:pPr>
    <w:rPr>
      <w:sz w:val="16"/>
      <w:szCs w:val="16"/>
    </w:rPr>
  </w:style>
  <w:style w:type="character" w:customStyle="1" w:styleId="BodyText3Char">
    <w:name w:val="Body Text 3 Char"/>
    <w:basedOn w:val="DefaultParagraphFont"/>
    <w:link w:val="BodyText3"/>
    <w:uiPriority w:val="99"/>
    <w:rsid w:val="005A6A7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A6A74"/>
    <w:pPr>
      <w:spacing w:after="200"/>
      <w:ind w:firstLine="360"/>
    </w:pPr>
  </w:style>
  <w:style w:type="character" w:customStyle="1" w:styleId="BodyTextFirstIndentChar">
    <w:name w:val="Body Text First Indent Char"/>
    <w:basedOn w:val="BodyTextChar"/>
    <w:link w:val="BodyTextFirstIndent"/>
    <w:uiPriority w:val="99"/>
    <w:rsid w:val="005A6A74"/>
    <w:rPr>
      <w:rFonts w:ascii="Source Sans Pro" w:hAnsi="Source Sans Pro"/>
      <w:sz w:val="24"/>
      <w:szCs w:val="22"/>
    </w:rPr>
  </w:style>
  <w:style w:type="paragraph" w:styleId="BodyTextIndent">
    <w:name w:val="Body Text Indent"/>
    <w:basedOn w:val="Normal"/>
    <w:link w:val="BodyTextIndentChar"/>
    <w:uiPriority w:val="99"/>
    <w:unhideWhenUsed/>
    <w:rsid w:val="005A6A74"/>
    <w:pPr>
      <w:spacing w:after="120"/>
      <w:ind w:left="360"/>
    </w:pPr>
  </w:style>
  <w:style w:type="character" w:customStyle="1" w:styleId="BodyTextIndentChar">
    <w:name w:val="Body Text Indent Char"/>
    <w:basedOn w:val="DefaultParagraphFont"/>
    <w:link w:val="BodyTextIndent"/>
    <w:uiPriority w:val="99"/>
    <w:rsid w:val="005A6A7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A6A74"/>
    <w:pPr>
      <w:spacing w:after="200"/>
      <w:ind w:firstLine="360"/>
    </w:pPr>
  </w:style>
  <w:style w:type="character" w:customStyle="1" w:styleId="BodyTextFirstIndent2Char">
    <w:name w:val="Body Text First Indent 2 Char"/>
    <w:basedOn w:val="BodyTextIndentChar"/>
    <w:link w:val="BodyTextFirstIndent2"/>
    <w:uiPriority w:val="99"/>
    <w:rsid w:val="005A6A74"/>
    <w:rPr>
      <w:rFonts w:ascii="Source Sans Pro" w:hAnsi="Source Sans Pro"/>
      <w:sz w:val="24"/>
      <w:szCs w:val="22"/>
    </w:rPr>
  </w:style>
  <w:style w:type="paragraph" w:styleId="BodyTextIndent2">
    <w:name w:val="Body Text Indent 2"/>
    <w:basedOn w:val="Normal"/>
    <w:link w:val="BodyTextIndent2Char"/>
    <w:uiPriority w:val="99"/>
    <w:unhideWhenUsed/>
    <w:rsid w:val="005A6A74"/>
    <w:pPr>
      <w:spacing w:after="120" w:line="480" w:lineRule="auto"/>
      <w:ind w:left="360"/>
    </w:pPr>
  </w:style>
  <w:style w:type="character" w:customStyle="1" w:styleId="BodyTextIndent2Char">
    <w:name w:val="Body Text Indent 2 Char"/>
    <w:basedOn w:val="DefaultParagraphFont"/>
    <w:link w:val="BodyTextIndent2"/>
    <w:uiPriority w:val="99"/>
    <w:rsid w:val="005A6A74"/>
    <w:rPr>
      <w:rFonts w:ascii="Source Sans Pro" w:hAnsi="Source Sans Pro"/>
      <w:sz w:val="24"/>
      <w:szCs w:val="22"/>
    </w:rPr>
  </w:style>
  <w:style w:type="paragraph" w:styleId="BodyTextIndent3">
    <w:name w:val="Body Text Indent 3"/>
    <w:basedOn w:val="Normal"/>
    <w:link w:val="BodyTextIndent3Char"/>
    <w:uiPriority w:val="99"/>
    <w:unhideWhenUsed/>
    <w:rsid w:val="005A6A74"/>
    <w:pPr>
      <w:spacing w:after="120"/>
      <w:ind w:left="360"/>
    </w:pPr>
    <w:rPr>
      <w:sz w:val="16"/>
      <w:szCs w:val="16"/>
    </w:rPr>
  </w:style>
  <w:style w:type="character" w:customStyle="1" w:styleId="BodyTextIndent3Char">
    <w:name w:val="Body Text Indent 3 Char"/>
    <w:basedOn w:val="DefaultParagraphFont"/>
    <w:link w:val="BodyTextIndent3"/>
    <w:uiPriority w:val="99"/>
    <w:rsid w:val="005A6A74"/>
    <w:rPr>
      <w:rFonts w:ascii="Source Sans Pro" w:hAnsi="Source Sans Pro"/>
      <w:sz w:val="16"/>
      <w:szCs w:val="16"/>
    </w:rPr>
  </w:style>
  <w:style w:type="paragraph" w:styleId="Closing">
    <w:name w:val="Closing"/>
    <w:basedOn w:val="Normal"/>
    <w:link w:val="ClosingChar"/>
    <w:uiPriority w:val="99"/>
    <w:unhideWhenUsed/>
    <w:rsid w:val="005A6A74"/>
    <w:pPr>
      <w:ind w:left="4320"/>
    </w:pPr>
  </w:style>
  <w:style w:type="character" w:customStyle="1" w:styleId="ClosingChar">
    <w:name w:val="Closing Char"/>
    <w:basedOn w:val="DefaultParagraphFont"/>
    <w:link w:val="Closing"/>
    <w:uiPriority w:val="99"/>
    <w:rsid w:val="005A6A74"/>
    <w:rPr>
      <w:rFonts w:ascii="Source Sans Pro" w:hAnsi="Source Sans Pro"/>
      <w:sz w:val="24"/>
      <w:szCs w:val="22"/>
    </w:rPr>
  </w:style>
  <w:style w:type="character" w:styleId="CommentReference">
    <w:name w:val="annotation reference"/>
    <w:basedOn w:val="DefaultParagraphFont"/>
    <w:uiPriority w:val="99"/>
    <w:unhideWhenUsed/>
    <w:qFormat/>
    <w:rsid w:val="005A6A74"/>
    <w:rPr>
      <w:rFonts w:ascii="Source Sans Pro" w:hAnsi="Source Sans Pro"/>
      <w:sz w:val="20"/>
      <w:szCs w:val="16"/>
    </w:rPr>
  </w:style>
  <w:style w:type="paragraph" w:styleId="CommentText">
    <w:name w:val="annotation text"/>
    <w:basedOn w:val="Normal"/>
    <w:link w:val="CommentTextChar"/>
    <w:uiPriority w:val="99"/>
    <w:unhideWhenUsed/>
    <w:rsid w:val="005A6A74"/>
    <w:rPr>
      <w:szCs w:val="20"/>
    </w:rPr>
  </w:style>
  <w:style w:type="character" w:customStyle="1" w:styleId="CommentTextChar">
    <w:name w:val="Comment Text Char"/>
    <w:basedOn w:val="DefaultParagraphFont"/>
    <w:link w:val="CommentText"/>
    <w:uiPriority w:val="99"/>
    <w:rsid w:val="005A6A74"/>
    <w:rPr>
      <w:rFonts w:ascii="Source Sans Pro" w:hAnsi="Source Sans Pro"/>
      <w:sz w:val="24"/>
    </w:rPr>
  </w:style>
  <w:style w:type="paragraph" w:styleId="CommentSubject">
    <w:name w:val="annotation subject"/>
    <w:basedOn w:val="CommentText"/>
    <w:next w:val="CommentText"/>
    <w:link w:val="CommentSubjectChar"/>
    <w:uiPriority w:val="99"/>
    <w:unhideWhenUsed/>
    <w:rsid w:val="005A6A74"/>
    <w:rPr>
      <w:b/>
      <w:bCs/>
    </w:rPr>
  </w:style>
  <w:style w:type="character" w:customStyle="1" w:styleId="CommentSubjectChar">
    <w:name w:val="Comment Subject Char"/>
    <w:basedOn w:val="CommentTextChar"/>
    <w:link w:val="CommentSubject"/>
    <w:uiPriority w:val="99"/>
    <w:rsid w:val="005A6A74"/>
    <w:rPr>
      <w:rFonts w:ascii="Source Sans Pro" w:hAnsi="Source Sans Pro"/>
      <w:b/>
      <w:bCs/>
      <w:sz w:val="24"/>
    </w:rPr>
  </w:style>
  <w:style w:type="paragraph" w:styleId="Date">
    <w:name w:val="Date"/>
    <w:basedOn w:val="Normal"/>
    <w:next w:val="Normal"/>
    <w:link w:val="DateChar"/>
    <w:uiPriority w:val="99"/>
    <w:unhideWhenUsed/>
    <w:rsid w:val="005A6A74"/>
  </w:style>
  <w:style w:type="character" w:customStyle="1" w:styleId="DateChar">
    <w:name w:val="Date Char"/>
    <w:basedOn w:val="DefaultParagraphFont"/>
    <w:link w:val="Date"/>
    <w:uiPriority w:val="99"/>
    <w:rsid w:val="005A6A74"/>
    <w:rPr>
      <w:rFonts w:ascii="Source Sans Pro" w:hAnsi="Source Sans Pro"/>
      <w:sz w:val="24"/>
      <w:szCs w:val="22"/>
    </w:rPr>
  </w:style>
  <w:style w:type="paragraph" w:styleId="DocumentMap">
    <w:name w:val="Document Map"/>
    <w:basedOn w:val="Normal"/>
    <w:link w:val="DocumentMapChar"/>
    <w:uiPriority w:val="99"/>
    <w:unhideWhenUsed/>
    <w:rsid w:val="005A6A74"/>
    <w:rPr>
      <w:rFonts w:cs="Tahoma"/>
      <w:sz w:val="16"/>
      <w:szCs w:val="16"/>
    </w:rPr>
  </w:style>
  <w:style w:type="character" w:customStyle="1" w:styleId="DocumentMapChar">
    <w:name w:val="Document Map Char"/>
    <w:basedOn w:val="DefaultParagraphFont"/>
    <w:link w:val="DocumentMap"/>
    <w:uiPriority w:val="99"/>
    <w:rsid w:val="005A6A74"/>
    <w:rPr>
      <w:rFonts w:ascii="Source Sans Pro" w:hAnsi="Source Sans Pro" w:cs="Tahoma"/>
      <w:sz w:val="16"/>
      <w:szCs w:val="16"/>
    </w:rPr>
  </w:style>
  <w:style w:type="character" w:styleId="EndnoteReference">
    <w:name w:val="endnote reference"/>
    <w:basedOn w:val="DefaultParagraphFont"/>
    <w:uiPriority w:val="99"/>
    <w:unhideWhenUsed/>
    <w:rsid w:val="005A6A74"/>
    <w:rPr>
      <w:vertAlign w:val="superscript"/>
    </w:rPr>
  </w:style>
  <w:style w:type="paragraph" w:styleId="EndnoteText">
    <w:name w:val="endnote text"/>
    <w:basedOn w:val="Normal"/>
    <w:link w:val="EndnoteTextChar"/>
    <w:uiPriority w:val="99"/>
    <w:unhideWhenUsed/>
    <w:rsid w:val="005A6A74"/>
    <w:rPr>
      <w:szCs w:val="20"/>
    </w:rPr>
  </w:style>
  <w:style w:type="character" w:customStyle="1" w:styleId="EndnoteTextChar">
    <w:name w:val="Endnote Text Char"/>
    <w:basedOn w:val="DefaultParagraphFont"/>
    <w:link w:val="EndnoteText"/>
    <w:uiPriority w:val="99"/>
    <w:rsid w:val="005A6A74"/>
    <w:rPr>
      <w:rFonts w:ascii="Source Sans Pro" w:hAnsi="Source Sans Pro"/>
      <w:sz w:val="24"/>
    </w:rPr>
  </w:style>
  <w:style w:type="paragraph" w:styleId="EnvelopeReturn">
    <w:name w:val="envelope return"/>
    <w:basedOn w:val="Normal"/>
    <w:uiPriority w:val="99"/>
    <w:unhideWhenUsed/>
    <w:rsid w:val="005A6A74"/>
    <w:rPr>
      <w:rFonts w:asciiTheme="majorHAnsi" w:eastAsia="Times New Roman" w:hAnsiTheme="majorHAnsi"/>
      <w:szCs w:val="20"/>
    </w:rPr>
  </w:style>
  <w:style w:type="character" w:styleId="FollowedHyperlink">
    <w:name w:val="FollowedHyperlink"/>
    <w:basedOn w:val="DefaultParagraphFont"/>
    <w:uiPriority w:val="99"/>
    <w:unhideWhenUsed/>
    <w:rsid w:val="005A6A74"/>
    <w:rPr>
      <w:color w:val="800080"/>
      <w:u w:val="single"/>
    </w:rPr>
  </w:style>
  <w:style w:type="paragraph" w:styleId="Footer">
    <w:name w:val="footer"/>
    <w:basedOn w:val="Normal"/>
    <w:link w:val="FooterChar"/>
    <w:uiPriority w:val="99"/>
    <w:unhideWhenUsed/>
    <w:rsid w:val="005A6A74"/>
    <w:pPr>
      <w:tabs>
        <w:tab w:val="center" w:pos="4680"/>
        <w:tab w:val="right" w:pos="9360"/>
      </w:tabs>
    </w:pPr>
  </w:style>
  <w:style w:type="character" w:customStyle="1" w:styleId="FooterChar">
    <w:name w:val="Footer Char"/>
    <w:basedOn w:val="DefaultParagraphFont"/>
    <w:link w:val="Footer"/>
    <w:uiPriority w:val="99"/>
    <w:rsid w:val="005A6A74"/>
    <w:rPr>
      <w:rFonts w:ascii="Source Sans Pro" w:hAnsi="Source Sans Pro"/>
      <w:sz w:val="24"/>
      <w:szCs w:val="22"/>
    </w:rPr>
  </w:style>
  <w:style w:type="character" w:styleId="FootnoteReference">
    <w:name w:val="footnote reference"/>
    <w:basedOn w:val="DefaultParagraphFont"/>
    <w:uiPriority w:val="99"/>
    <w:unhideWhenUsed/>
    <w:rsid w:val="005A6A74"/>
    <w:rPr>
      <w:vertAlign w:val="superscript"/>
    </w:rPr>
  </w:style>
  <w:style w:type="paragraph" w:styleId="FootnoteText">
    <w:name w:val="footnote text"/>
    <w:basedOn w:val="Normal"/>
    <w:link w:val="FootnoteTextChar"/>
    <w:uiPriority w:val="99"/>
    <w:unhideWhenUsed/>
    <w:qFormat/>
    <w:rsid w:val="005A6A7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A6A74"/>
    <w:rPr>
      <w:rFonts w:ascii="Source Sans Pro" w:hAnsi="Source Sans Pro"/>
      <w:sz w:val="18"/>
    </w:rPr>
  </w:style>
  <w:style w:type="paragraph" w:styleId="Header">
    <w:name w:val="header"/>
    <w:basedOn w:val="Normal"/>
    <w:link w:val="HeaderChar"/>
    <w:uiPriority w:val="99"/>
    <w:unhideWhenUsed/>
    <w:rsid w:val="005A6A74"/>
    <w:pPr>
      <w:tabs>
        <w:tab w:val="center" w:pos="4680"/>
        <w:tab w:val="right" w:pos="9360"/>
      </w:tabs>
    </w:pPr>
  </w:style>
  <w:style w:type="character" w:customStyle="1" w:styleId="HeaderChar">
    <w:name w:val="Header Char"/>
    <w:basedOn w:val="DefaultParagraphFont"/>
    <w:link w:val="Header"/>
    <w:uiPriority w:val="99"/>
    <w:rsid w:val="005A6A74"/>
    <w:rPr>
      <w:rFonts w:ascii="Source Sans Pro" w:hAnsi="Source Sans Pro"/>
      <w:sz w:val="24"/>
      <w:szCs w:val="22"/>
    </w:rPr>
  </w:style>
  <w:style w:type="character" w:styleId="HTMLAcronym">
    <w:name w:val="HTML Acronym"/>
    <w:basedOn w:val="DefaultParagraphFont"/>
    <w:uiPriority w:val="99"/>
    <w:unhideWhenUsed/>
    <w:rsid w:val="005A6A74"/>
  </w:style>
  <w:style w:type="paragraph" w:styleId="HTMLAddress">
    <w:name w:val="HTML Address"/>
    <w:basedOn w:val="Normal"/>
    <w:link w:val="HTMLAddressChar"/>
    <w:uiPriority w:val="99"/>
    <w:unhideWhenUsed/>
    <w:rsid w:val="005A6A74"/>
    <w:rPr>
      <w:i/>
      <w:iCs/>
    </w:rPr>
  </w:style>
  <w:style w:type="character" w:customStyle="1" w:styleId="HTMLAddressChar">
    <w:name w:val="HTML Address Char"/>
    <w:basedOn w:val="DefaultParagraphFont"/>
    <w:link w:val="HTMLAddress"/>
    <w:uiPriority w:val="99"/>
    <w:rsid w:val="005A6A74"/>
    <w:rPr>
      <w:rFonts w:ascii="Source Sans Pro" w:hAnsi="Source Sans Pro"/>
      <w:i/>
      <w:iCs/>
      <w:sz w:val="24"/>
      <w:szCs w:val="22"/>
    </w:rPr>
  </w:style>
  <w:style w:type="character" w:styleId="HTMLCite">
    <w:name w:val="HTML Cite"/>
    <w:basedOn w:val="DefaultParagraphFont"/>
    <w:uiPriority w:val="99"/>
    <w:unhideWhenUsed/>
    <w:rsid w:val="005A6A74"/>
    <w:rPr>
      <w:i/>
      <w:iCs/>
    </w:rPr>
  </w:style>
  <w:style w:type="character" w:styleId="HTMLCode">
    <w:name w:val="HTML Code"/>
    <w:basedOn w:val="DefaultParagraphFont"/>
    <w:uiPriority w:val="99"/>
    <w:unhideWhenUsed/>
    <w:rsid w:val="005A6A74"/>
    <w:rPr>
      <w:rFonts w:ascii="Consolas" w:hAnsi="Consolas"/>
      <w:sz w:val="20"/>
      <w:szCs w:val="20"/>
    </w:rPr>
  </w:style>
  <w:style w:type="character" w:styleId="HTMLDefinition">
    <w:name w:val="HTML Definition"/>
    <w:basedOn w:val="DefaultParagraphFont"/>
    <w:uiPriority w:val="99"/>
    <w:unhideWhenUsed/>
    <w:rsid w:val="005A6A74"/>
    <w:rPr>
      <w:i/>
      <w:iCs/>
    </w:rPr>
  </w:style>
  <w:style w:type="character" w:styleId="HTMLKeyboard">
    <w:name w:val="HTML Keyboard"/>
    <w:basedOn w:val="DefaultParagraphFont"/>
    <w:uiPriority w:val="99"/>
    <w:unhideWhenUsed/>
    <w:rsid w:val="005A6A74"/>
    <w:rPr>
      <w:rFonts w:ascii="Consolas" w:hAnsi="Consolas"/>
      <w:sz w:val="20"/>
      <w:szCs w:val="20"/>
    </w:rPr>
  </w:style>
  <w:style w:type="paragraph" w:styleId="HTMLPreformatted">
    <w:name w:val="HTML Preformatted"/>
    <w:basedOn w:val="Normal"/>
    <w:link w:val="HTMLPreformattedChar"/>
    <w:uiPriority w:val="99"/>
    <w:unhideWhenUsed/>
    <w:rsid w:val="005A6A74"/>
    <w:rPr>
      <w:rFonts w:ascii="Consolas" w:hAnsi="Consolas"/>
      <w:szCs w:val="20"/>
    </w:rPr>
  </w:style>
  <w:style w:type="character" w:customStyle="1" w:styleId="HTMLPreformattedChar">
    <w:name w:val="HTML Preformatted Char"/>
    <w:basedOn w:val="DefaultParagraphFont"/>
    <w:link w:val="HTMLPreformatted"/>
    <w:uiPriority w:val="99"/>
    <w:rsid w:val="005A6A74"/>
    <w:rPr>
      <w:rFonts w:ascii="Consolas" w:hAnsi="Consolas"/>
      <w:sz w:val="24"/>
    </w:rPr>
  </w:style>
  <w:style w:type="character" w:styleId="HTMLSample">
    <w:name w:val="HTML Sample"/>
    <w:basedOn w:val="DefaultParagraphFont"/>
    <w:uiPriority w:val="99"/>
    <w:unhideWhenUsed/>
    <w:rsid w:val="005A6A74"/>
    <w:rPr>
      <w:rFonts w:ascii="Consolas" w:hAnsi="Consolas"/>
      <w:sz w:val="24"/>
      <w:szCs w:val="24"/>
    </w:rPr>
  </w:style>
  <w:style w:type="character" w:styleId="HTMLTypewriter">
    <w:name w:val="HTML Typewriter"/>
    <w:basedOn w:val="DefaultParagraphFont"/>
    <w:uiPriority w:val="99"/>
    <w:unhideWhenUsed/>
    <w:rsid w:val="005A6A74"/>
    <w:rPr>
      <w:rFonts w:ascii="Consolas" w:hAnsi="Consolas"/>
      <w:sz w:val="20"/>
      <w:szCs w:val="20"/>
    </w:rPr>
  </w:style>
  <w:style w:type="character" w:styleId="HTMLVariable">
    <w:name w:val="HTML Variable"/>
    <w:basedOn w:val="DefaultParagraphFont"/>
    <w:uiPriority w:val="99"/>
    <w:unhideWhenUsed/>
    <w:rsid w:val="005A6A74"/>
    <w:rPr>
      <w:i/>
      <w:iCs/>
    </w:rPr>
  </w:style>
  <w:style w:type="paragraph" w:styleId="Index1">
    <w:name w:val="index 1"/>
    <w:basedOn w:val="Normal"/>
    <w:next w:val="Normal"/>
    <w:autoRedefine/>
    <w:uiPriority w:val="99"/>
    <w:unhideWhenUsed/>
    <w:rsid w:val="005A6A74"/>
    <w:pPr>
      <w:ind w:left="220" w:hanging="220"/>
    </w:pPr>
  </w:style>
  <w:style w:type="paragraph" w:styleId="Index2">
    <w:name w:val="index 2"/>
    <w:basedOn w:val="Normal"/>
    <w:next w:val="Normal"/>
    <w:autoRedefine/>
    <w:uiPriority w:val="99"/>
    <w:unhideWhenUsed/>
    <w:rsid w:val="005A6A74"/>
    <w:pPr>
      <w:ind w:left="440" w:hanging="220"/>
    </w:pPr>
  </w:style>
  <w:style w:type="paragraph" w:styleId="Index3">
    <w:name w:val="index 3"/>
    <w:basedOn w:val="Normal"/>
    <w:next w:val="Normal"/>
    <w:autoRedefine/>
    <w:uiPriority w:val="99"/>
    <w:unhideWhenUsed/>
    <w:rsid w:val="005A6A74"/>
    <w:pPr>
      <w:ind w:left="660" w:hanging="220"/>
    </w:pPr>
  </w:style>
  <w:style w:type="paragraph" w:styleId="Index4">
    <w:name w:val="index 4"/>
    <w:basedOn w:val="Normal"/>
    <w:next w:val="Normal"/>
    <w:autoRedefine/>
    <w:uiPriority w:val="99"/>
    <w:unhideWhenUsed/>
    <w:rsid w:val="005A6A74"/>
    <w:pPr>
      <w:ind w:left="880" w:hanging="220"/>
    </w:pPr>
  </w:style>
  <w:style w:type="paragraph" w:styleId="Index6">
    <w:name w:val="index 6"/>
    <w:basedOn w:val="Normal"/>
    <w:next w:val="Normal"/>
    <w:autoRedefine/>
    <w:uiPriority w:val="99"/>
    <w:unhideWhenUsed/>
    <w:rsid w:val="005A6A74"/>
    <w:pPr>
      <w:ind w:left="1320" w:hanging="220"/>
    </w:pPr>
  </w:style>
  <w:style w:type="paragraph" w:styleId="Index5">
    <w:name w:val="index 5"/>
    <w:basedOn w:val="Normal"/>
    <w:next w:val="Normal"/>
    <w:autoRedefine/>
    <w:uiPriority w:val="99"/>
    <w:unhideWhenUsed/>
    <w:rsid w:val="005A6A74"/>
    <w:pPr>
      <w:ind w:left="1100" w:hanging="220"/>
    </w:pPr>
  </w:style>
  <w:style w:type="paragraph" w:styleId="Index7">
    <w:name w:val="index 7"/>
    <w:basedOn w:val="Normal"/>
    <w:next w:val="Normal"/>
    <w:autoRedefine/>
    <w:uiPriority w:val="99"/>
    <w:unhideWhenUsed/>
    <w:rsid w:val="005A6A74"/>
    <w:pPr>
      <w:ind w:left="1540" w:hanging="220"/>
    </w:pPr>
  </w:style>
  <w:style w:type="paragraph" w:styleId="Index8">
    <w:name w:val="index 8"/>
    <w:basedOn w:val="Normal"/>
    <w:next w:val="Normal"/>
    <w:autoRedefine/>
    <w:uiPriority w:val="99"/>
    <w:unhideWhenUsed/>
    <w:rsid w:val="005A6A74"/>
    <w:pPr>
      <w:ind w:left="1760" w:hanging="220"/>
    </w:pPr>
  </w:style>
  <w:style w:type="paragraph" w:styleId="Index9">
    <w:name w:val="index 9"/>
    <w:basedOn w:val="Normal"/>
    <w:next w:val="Normal"/>
    <w:autoRedefine/>
    <w:uiPriority w:val="99"/>
    <w:unhideWhenUsed/>
    <w:rsid w:val="005A6A74"/>
    <w:pPr>
      <w:ind w:left="1980" w:hanging="220"/>
    </w:pPr>
  </w:style>
  <w:style w:type="paragraph" w:styleId="IndexHeading">
    <w:name w:val="index heading"/>
    <w:basedOn w:val="Normal"/>
    <w:next w:val="Index1"/>
    <w:uiPriority w:val="99"/>
    <w:unhideWhenUsed/>
    <w:rsid w:val="005A6A74"/>
    <w:rPr>
      <w:rFonts w:asciiTheme="majorHAnsi" w:eastAsia="Times New Roman" w:hAnsiTheme="majorHAnsi"/>
      <w:b/>
      <w:bCs/>
    </w:rPr>
  </w:style>
  <w:style w:type="character" w:styleId="LineNumber">
    <w:name w:val="line number"/>
    <w:basedOn w:val="DefaultParagraphFont"/>
    <w:uiPriority w:val="99"/>
    <w:unhideWhenUsed/>
    <w:rsid w:val="005A6A74"/>
  </w:style>
  <w:style w:type="paragraph" w:styleId="List">
    <w:name w:val="List"/>
    <w:basedOn w:val="Normal"/>
    <w:uiPriority w:val="99"/>
    <w:unhideWhenUsed/>
    <w:rsid w:val="005A6A74"/>
    <w:pPr>
      <w:ind w:left="360" w:hanging="360"/>
      <w:contextualSpacing/>
    </w:pPr>
  </w:style>
  <w:style w:type="paragraph" w:styleId="List2">
    <w:name w:val="List 2"/>
    <w:basedOn w:val="Normal"/>
    <w:uiPriority w:val="99"/>
    <w:unhideWhenUsed/>
    <w:rsid w:val="005A6A74"/>
    <w:pPr>
      <w:ind w:left="720" w:hanging="360"/>
      <w:contextualSpacing/>
    </w:pPr>
  </w:style>
  <w:style w:type="paragraph" w:styleId="List3">
    <w:name w:val="List 3"/>
    <w:basedOn w:val="Normal"/>
    <w:uiPriority w:val="99"/>
    <w:unhideWhenUsed/>
    <w:rsid w:val="005A6A74"/>
    <w:pPr>
      <w:ind w:left="1080" w:hanging="360"/>
      <w:contextualSpacing/>
    </w:pPr>
  </w:style>
  <w:style w:type="paragraph" w:styleId="List4">
    <w:name w:val="List 4"/>
    <w:basedOn w:val="Normal"/>
    <w:uiPriority w:val="99"/>
    <w:unhideWhenUsed/>
    <w:rsid w:val="005A6A74"/>
    <w:pPr>
      <w:ind w:left="1440" w:hanging="360"/>
      <w:contextualSpacing/>
    </w:pPr>
  </w:style>
  <w:style w:type="paragraph" w:styleId="List5">
    <w:name w:val="List 5"/>
    <w:basedOn w:val="Normal"/>
    <w:uiPriority w:val="99"/>
    <w:unhideWhenUsed/>
    <w:rsid w:val="005A6A74"/>
    <w:pPr>
      <w:ind w:left="1800" w:hanging="360"/>
      <w:contextualSpacing/>
    </w:pPr>
  </w:style>
  <w:style w:type="paragraph" w:styleId="ListBullet">
    <w:name w:val="List Bullet"/>
    <w:basedOn w:val="Normal"/>
    <w:uiPriority w:val="99"/>
    <w:unhideWhenUsed/>
    <w:qFormat/>
    <w:rsid w:val="005A6A74"/>
    <w:pPr>
      <w:numPr>
        <w:numId w:val="1"/>
      </w:numPr>
      <w:ind w:left="720" w:hanging="288"/>
    </w:pPr>
  </w:style>
  <w:style w:type="paragraph" w:styleId="ListBullet2">
    <w:name w:val="List Bullet 2"/>
    <w:basedOn w:val="Normal"/>
    <w:uiPriority w:val="99"/>
    <w:unhideWhenUsed/>
    <w:rsid w:val="005A6A74"/>
    <w:pPr>
      <w:numPr>
        <w:numId w:val="3"/>
      </w:numPr>
      <w:ind w:left="1008" w:hanging="288"/>
    </w:pPr>
  </w:style>
  <w:style w:type="paragraph" w:styleId="ListBullet3">
    <w:name w:val="List Bullet 3"/>
    <w:basedOn w:val="Normal"/>
    <w:uiPriority w:val="99"/>
    <w:unhideWhenUsed/>
    <w:rsid w:val="005A6A74"/>
    <w:pPr>
      <w:numPr>
        <w:numId w:val="4"/>
      </w:numPr>
      <w:ind w:left="1440"/>
      <w:contextualSpacing/>
    </w:pPr>
  </w:style>
  <w:style w:type="paragraph" w:styleId="ListBullet4">
    <w:name w:val="List Bullet 4"/>
    <w:basedOn w:val="Normal"/>
    <w:uiPriority w:val="99"/>
    <w:unhideWhenUsed/>
    <w:rsid w:val="005A6A74"/>
    <w:pPr>
      <w:numPr>
        <w:numId w:val="5"/>
      </w:numPr>
      <w:contextualSpacing/>
    </w:pPr>
  </w:style>
  <w:style w:type="paragraph" w:styleId="ListContinue">
    <w:name w:val="List Continue"/>
    <w:basedOn w:val="Normal"/>
    <w:uiPriority w:val="99"/>
    <w:unhideWhenUsed/>
    <w:rsid w:val="005A6A74"/>
    <w:pPr>
      <w:spacing w:after="120"/>
      <w:ind w:left="360"/>
      <w:contextualSpacing/>
    </w:pPr>
  </w:style>
  <w:style w:type="paragraph" w:styleId="ListContinue2">
    <w:name w:val="List Continue 2"/>
    <w:basedOn w:val="Normal"/>
    <w:uiPriority w:val="99"/>
    <w:unhideWhenUsed/>
    <w:rsid w:val="005A6A74"/>
    <w:pPr>
      <w:spacing w:after="120"/>
      <w:ind w:left="720"/>
      <w:contextualSpacing/>
    </w:pPr>
  </w:style>
  <w:style w:type="paragraph" w:styleId="ListContinue3">
    <w:name w:val="List Continue 3"/>
    <w:basedOn w:val="Normal"/>
    <w:uiPriority w:val="99"/>
    <w:unhideWhenUsed/>
    <w:rsid w:val="005A6A74"/>
    <w:pPr>
      <w:spacing w:after="120"/>
      <w:ind w:left="1080"/>
      <w:contextualSpacing/>
    </w:pPr>
  </w:style>
  <w:style w:type="paragraph" w:styleId="ListContinue4">
    <w:name w:val="List Continue 4"/>
    <w:basedOn w:val="Normal"/>
    <w:uiPriority w:val="99"/>
    <w:unhideWhenUsed/>
    <w:rsid w:val="005A6A74"/>
    <w:pPr>
      <w:spacing w:after="120"/>
      <w:ind w:left="1440"/>
      <w:contextualSpacing/>
    </w:pPr>
  </w:style>
  <w:style w:type="paragraph" w:styleId="ListContinue5">
    <w:name w:val="List Continue 5"/>
    <w:basedOn w:val="Normal"/>
    <w:uiPriority w:val="99"/>
    <w:unhideWhenUsed/>
    <w:rsid w:val="005A6A74"/>
    <w:pPr>
      <w:spacing w:after="120"/>
      <w:ind w:left="1800"/>
      <w:contextualSpacing/>
    </w:pPr>
  </w:style>
  <w:style w:type="paragraph" w:styleId="ListNumber">
    <w:name w:val="List Number"/>
    <w:basedOn w:val="Normal"/>
    <w:uiPriority w:val="99"/>
    <w:unhideWhenUsed/>
    <w:rsid w:val="005A6A74"/>
    <w:pPr>
      <w:numPr>
        <w:numId w:val="2"/>
      </w:numPr>
      <w:contextualSpacing/>
    </w:pPr>
  </w:style>
  <w:style w:type="paragraph" w:styleId="ListNumber2">
    <w:name w:val="List Number 2"/>
    <w:basedOn w:val="Normal"/>
    <w:uiPriority w:val="99"/>
    <w:unhideWhenUsed/>
    <w:rsid w:val="005A6A74"/>
    <w:pPr>
      <w:numPr>
        <w:numId w:val="6"/>
      </w:numPr>
      <w:contextualSpacing/>
    </w:pPr>
  </w:style>
  <w:style w:type="paragraph" w:styleId="ListNumber3">
    <w:name w:val="List Number 3"/>
    <w:basedOn w:val="Normal"/>
    <w:uiPriority w:val="99"/>
    <w:unhideWhenUsed/>
    <w:rsid w:val="005A6A74"/>
    <w:pPr>
      <w:numPr>
        <w:numId w:val="7"/>
      </w:numPr>
      <w:contextualSpacing/>
    </w:pPr>
  </w:style>
  <w:style w:type="paragraph" w:styleId="ListNumber4">
    <w:name w:val="List Number 4"/>
    <w:basedOn w:val="Normal"/>
    <w:uiPriority w:val="99"/>
    <w:unhideWhenUsed/>
    <w:rsid w:val="005A6A74"/>
    <w:pPr>
      <w:numPr>
        <w:numId w:val="8"/>
      </w:numPr>
      <w:contextualSpacing/>
    </w:pPr>
  </w:style>
  <w:style w:type="paragraph" w:styleId="ListNumber5">
    <w:name w:val="List Number 5"/>
    <w:basedOn w:val="Normal"/>
    <w:uiPriority w:val="99"/>
    <w:unhideWhenUsed/>
    <w:rsid w:val="005A6A74"/>
    <w:pPr>
      <w:numPr>
        <w:numId w:val="9"/>
      </w:numPr>
      <w:contextualSpacing/>
    </w:pPr>
  </w:style>
  <w:style w:type="paragraph" w:styleId="MacroText">
    <w:name w:val="macro"/>
    <w:link w:val="MacroTextChar"/>
    <w:uiPriority w:val="99"/>
    <w:unhideWhenUsed/>
    <w:rsid w:val="005A6A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A6A74"/>
    <w:rPr>
      <w:rFonts w:ascii="Consolas" w:hAnsi="Consolas"/>
    </w:rPr>
  </w:style>
  <w:style w:type="paragraph" w:styleId="MessageHeader">
    <w:name w:val="Message Header"/>
    <w:basedOn w:val="Normal"/>
    <w:link w:val="MessageHeaderChar"/>
    <w:uiPriority w:val="99"/>
    <w:unhideWhenUsed/>
    <w:rsid w:val="005A6A7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A6A7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A6A74"/>
    <w:rPr>
      <w:rFonts w:ascii="Times New Roman" w:hAnsi="Times New Roman"/>
      <w:szCs w:val="24"/>
    </w:rPr>
  </w:style>
  <w:style w:type="paragraph" w:styleId="NormalIndent">
    <w:name w:val="Normal Indent"/>
    <w:basedOn w:val="Normal"/>
    <w:uiPriority w:val="99"/>
    <w:unhideWhenUsed/>
    <w:rsid w:val="005A6A74"/>
    <w:pPr>
      <w:ind w:left="720"/>
    </w:pPr>
  </w:style>
  <w:style w:type="paragraph" w:styleId="NoteHeading">
    <w:name w:val="Note Heading"/>
    <w:basedOn w:val="Normal"/>
    <w:next w:val="Normal"/>
    <w:link w:val="NoteHeadingChar"/>
    <w:uiPriority w:val="99"/>
    <w:unhideWhenUsed/>
    <w:rsid w:val="005A6A74"/>
  </w:style>
  <w:style w:type="character" w:customStyle="1" w:styleId="NoteHeadingChar">
    <w:name w:val="Note Heading Char"/>
    <w:basedOn w:val="DefaultParagraphFont"/>
    <w:link w:val="NoteHeading"/>
    <w:uiPriority w:val="99"/>
    <w:rsid w:val="005A6A74"/>
    <w:rPr>
      <w:rFonts w:ascii="Source Sans Pro" w:hAnsi="Source Sans Pro"/>
      <w:sz w:val="24"/>
      <w:szCs w:val="22"/>
    </w:rPr>
  </w:style>
  <w:style w:type="character" w:styleId="PageNumber">
    <w:name w:val="page number"/>
    <w:basedOn w:val="DefaultParagraphFont"/>
    <w:uiPriority w:val="99"/>
    <w:unhideWhenUsed/>
    <w:rsid w:val="005A6A74"/>
  </w:style>
  <w:style w:type="character" w:styleId="PlaceholderText">
    <w:name w:val="Placeholder Text"/>
    <w:basedOn w:val="DefaultParagraphFont"/>
    <w:uiPriority w:val="99"/>
    <w:semiHidden/>
    <w:rsid w:val="005A6A74"/>
    <w:rPr>
      <w:color w:val="808080"/>
    </w:rPr>
  </w:style>
  <w:style w:type="paragraph" w:styleId="PlainText">
    <w:name w:val="Plain Text"/>
    <w:basedOn w:val="Normal"/>
    <w:link w:val="PlainTextChar"/>
    <w:uiPriority w:val="99"/>
    <w:unhideWhenUsed/>
    <w:rsid w:val="005A6A74"/>
    <w:rPr>
      <w:rFonts w:ascii="Consolas" w:hAnsi="Consolas"/>
      <w:sz w:val="21"/>
      <w:szCs w:val="21"/>
    </w:rPr>
  </w:style>
  <w:style w:type="character" w:customStyle="1" w:styleId="PlainTextChar">
    <w:name w:val="Plain Text Char"/>
    <w:basedOn w:val="DefaultParagraphFont"/>
    <w:link w:val="PlainText"/>
    <w:uiPriority w:val="99"/>
    <w:rsid w:val="005A6A74"/>
    <w:rPr>
      <w:rFonts w:ascii="Consolas" w:hAnsi="Consolas"/>
      <w:sz w:val="21"/>
      <w:szCs w:val="21"/>
    </w:rPr>
  </w:style>
  <w:style w:type="paragraph" w:styleId="Salutation">
    <w:name w:val="Salutation"/>
    <w:basedOn w:val="Normal"/>
    <w:next w:val="Normal"/>
    <w:link w:val="SalutationChar"/>
    <w:uiPriority w:val="99"/>
    <w:unhideWhenUsed/>
    <w:rsid w:val="005A6A74"/>
  </w:style>
  <w:style w:type="character" w:customStyle="1" w:styleId="SalutationChar">
    <w:name w:val="Salutation Char"/>
    <w:basedOn w:val="DefaultParagraphFont"/>
    <w:link w:val="Salutation"/>
    <w:uiPriority w:val="99"/>
    <w:rsid w:val="005A6A74"/>
    <w:rPr>
      <w:rFonts w:ascii="Source Sans Pro" w:hAnsi="Source Sans Pro"/>
      <w:sz w:val="24"/>
      <w:szCs w:val="22"/>
    </w:rPr>
  </w:style>
  <w:style w:type="paragraph" w:styleId="Signature">
    <w:name w:val="Signature"/>
    <w:basedOn w:val="Normal"/>
    <w:link w:val="SignatureChar"/>
    <w:uiPriority w:val="99"/>
    <w:unhideWhenUsed/>
    <w:rsid w:val="005A6A74"/>
    <w:pPr>
      <w:ind w:left="4320"/>
    </w:pPr>
  </w:style>
  <w:style w:type="character" w:customStyle="1" w:styleId="SignatureChar">
    <w:name w:val="Signature Char"/>
    <w:basedOn w:val="DefaultParagraphFont"/>
    <w:link w:val="Signature"/>
    <w:uiPriority w:val="99"/>
    <w:rsid w:val="005A6A74"/>
    <w:rPr>
      <w:rFonts w:ascii="Source Sans Pro" w:hAnsi="Source Sans Pro"/>
      <w:sz w:val="24"/>
      <w:szCs w:val="22"/>
    </w:rPr>
  </w:style>
  <w:style w:type="paragraph" w:styleId="TableofAuthorities">
    <w:name w:val="table of authorities"/>
    <w:basedOn w:val="Normal"/>
    <w:next w:val="Normal"/>
    <w:uiPriority w:val="99"/>
    <w:unhideWhenUsed/>
    <w:rsid w:val="005A6A74"/>
    <w:pPr>
      <w:ind w:left="220" w:hanging="220"/>
    </w:pPr>
  </w:style>
  <w:style w:type="paragraph" w:styleId="TableofFigures">
    <w:name w:val="table of figures"/>
    <w:basedOn w:val="Normal"/>
    <w:next w:val="Normal"/>
    <w:uiPriority w:val="99"/>
    <w:unhideWhenUsed/>
    <w:rsid w:val="005A6A74"/>
  </w:style>
  <w:style w:type="character" w:customStyle="1" w:styleId="Title1Char">
    <w:name w:val="Title 1 Char"/>
    <w:basedOn w:val="DefaultParagraphFont"/>
    <w:link w:val="Title1"/>
    <w:rsid w:val="005A6A7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A6A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A6A7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A6A7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A6A7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A6A74"/>
    <w:pPr>
      <w:tabs>
        <w:tab w:val="right" w:pos="8460"/>
      </w:tabs>
      <w:spacing w:line="600" w:lineRule="auto"/>
    </w:pPr>
  </w:style>
  <w:style w:type="paragraph" w:customStyle="1" w:styleId="ListForm">
    <w:name w:val="List Form"/>
    <w:basedOn w:val="List"/>
    <w:rsid w:val="005A6A74"/>
    <w:pPr>
      <w:spacing w:before="240"/>
    </w:pPr>
  </w:style>
  <w:style w:type="paragraph" w:customStyle="1" w:styleId="TableHead1">
    <w:name w:val="Table Head 1"/>
    <w:basedOn w:val="Normal"/>
    <w:qFormat/>
    <w:rsid w:val="005A6A7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A6A7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A6A74"/>
    <w:pPr>
      <w:spacing w:before="0" w:after="0"/>
      <w:ind w:left="432"/>
    </w:pPr>
  </w:style>
  <w:style w:type="paragraph" w:customStyle="1" w:styleId="AssumptionsBody">
    <w:name w:val="Assumptions Body"/>
    <w:basedOn w:val="Normal"/>
    <w:rsid w:val="005A6A74"/>
    <w:pPr>
      <w:ind w:left="288"/>
    </w:pPr>
    <w:rPr>
      <w:sz w:val="18"/>
    </w:rPr>
  </w:style>
  <w:style w:type="paragraph" w:customStyle="1" w:styleId="hypotheticalillustration">
    <w:name w:val="hypothetical illustration"/>
    <w:basedOn w:val="Normal"/>
    <w:rsid w:val="005A6A74"/>
    <w:pPr>
      <w:jc w:val="center"/>
    </w:pPr>
    <w:rPr>
      <w:sz w:val="20"/>
    </w:rPr>
  </w:style>
  <w:style w:type="table" w:customStyle="1" w:styleId="echoWealthMonopoly">
    <w:name w:val="echoWealth Monopoly"/>
    <w:basedOn w:val="TableNormal"/>
    <w:uiPriority w:val="99"/>
    <w:qFormat/>
    <w:rsid w:val="005A6A7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A6A7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A6A7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A6A74"/>
    <w:rPr>
      <w:rFonts w:ascii="Roboto Slab Regular" w:hAnsi="Roboto Slab Regular"/>
      <w:color w:val="344373"/>
      <w:sz w:val="36"/>
      <w:szCs w:val="36"/>
    </w:rPr>
  </w:style>
  <w:style w:type="paragraph" w:customStyle="1" w:styleId="ListAlpha">
    <w:name w:val="List Alpha"/>
    <w:basedOn w:val="ListBullet"/>
    <w:rsid w:val="005A6A74"/>
    <w:pPr>
      <w:numPr>
        <w:numId w:val="10"/>
      </w:numPr>
    </w:pPr>
  </w:style>
  <w:style w:type="table" w:customStyle="1" w:styleId="NewStyle2014">
    <w:name w:val="New Style 2014"/>
    <w:basedOn w:val="TableNormal"/>
    <w:uiPriority w:val="99"/>
    <w:qFormat/>
    <w:rsid w:val="005A6A7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A6A7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A6A74"/>
    <w:rPr>
      <w:rFonts w:ascii="Source Sans Pro Semibold" w:hAnsi="Source Sans Pro Semibold" w:cstheme="minorHAnsi"/>
      <w:color w:val="FFFFFF" w:themeColor="background1"/>
    </w:rPr>
  </w:style>
  <w:style w:type="paragraph" w:customStyle="1" w:styleId="Body">
    <w:name w:val="Body"/>
    <w:basedOn w:val="Normal"/>
    <w:link w:val="BodyChar"/>
    <w:qFormat/>
    <w:rsid w:val="005A6A74"/>
    <w:rPr>
      <w:szCs w:val="24"/>
    </w:rPr>
  </w:style>
  <w:style w:type="character" w:customStyle="1" w:styleId="BodyChar">
    <w:name w:val="Body Char"/>
    <w:basedOn w:val="DefaultParagraphFont"/>
    <w:link w:val="Body"/>
    <w:rsid w:val="005A6A74"/>
    <w:rPr>
      <w:rFonts w:ascii="Source Sans Pro" w:hAnsi="Source Sans Pro"/>
      <w:sz w:val="24"/>
      <w:szCs w:val="24"/>
    </w:rPr>
  </w:style>
  <w:style w:type="paragraph" w:customStyle="1" w:styleId="TableTitle1">
    <w:name w:val="Table Title 1"/>
    <w:basedOn w:val="Heading1"/>
    <w:link w:val="TableTitle1Char"/>
    <w:qFormat/>
    <w:rsid w:val="005A6A74"/>
    <w:pPr>
      <w:jc w:val="center"/>
    </w:pPr>
    <w:rPr>
      <w:color w:val="344373"/>
    </w:rPr>
  </w:style>
  <w:style w:type="character" w:customStyle="1" w:styleId="TableTitle1Char">
    <w:name w:val="Table Title 1 Char"/>
    <w:basedOn w:val="Heading1Char"/>
    <w:link w:val="TableTitle1"/>
    <w:rsid w:val="005A6A7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A6A7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A6A74"/>
    <w:rPr>
      <w:rFonts w:ascii="Source Sans Pro Semibold" w:hAnsi="Source Sans Pro Semibold"/>
      <w:color w:val="344373"/>
      <w:sz w:val="24"/>
      <w:szCs w:val="24"/>
    </w:rPr>
  </w:style>
  <w:style w:type="paragraph" w:customStyle="1" w:styleId="Footnote">
    <w:name w:val="Footnote"/>
    <w:basedOn w:val="FootnoteText"/>
    <w:link w:val="FootnoteChar"/>
    <w:qFormat/>
    <w:rsid w:val="005A6A74"/>
    <w:pPr>
      <w:spacing w:line="240" w:lineRule="auto"/>
      <w:ind w:left="101" w:hanging="101"/>
      <w:jc w:val="both"/>
    </w:pPr>
    <w:rPr>
      <w:szCs w:val="18"/>
    </w:rPr>
  </w:style>
  <w:style w:type="character" w:customStyle="1" w:styleId="FootnoteChar">
    <w:name w:val="Footnote Char"/>
    <w:basedOn w:val="FootnoteTextChar"/>
    <w:link w:val="Footnote"/>
    <w:rsid w:val="005A6A74"/>
    <w:rPr>
      <w:rFonts w:ascii="Source Sans Pro" w:hAnsi="Source Sans Pro"/>
      <w:sz w:val="18"/>
      <w:szCs w:val="18"/>
    </w:rPr>
  </w:style>
  <w:style w:type="paragraph" w:customStyle="1" w:styleId="TableBody">
    <w:name w:val="Table Body"/>
    <w:basedOn w:val="Normal"/>
    <w:qFormat/>
    <w:rsid w:val="005A6A74"/>
    <w:pPr>
      <w:spacing w:before="0" w:after="0"/>
    </w:pPr>
    <w:rPr>
      <w:sz w:val="20"/>
      <w:szCs w:val="20"/>
    </w:rPr>
  </w:style>
  <w:style w:type="paragraph" w:customStyle="1" w:styleId="TableBodyStrong">
    <w:name w:val="Table Body Strong"/>
    <w:basedOn w:val="TableBody"/>
    <w:qFormat/>
    <w:rsid w:val="005A6A74"/>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A6A74"/>
    <w:rPr>
      <w:sz w:val="26"/>
    </w:rPr>
  </w:style>
  <w:style w:type="paragraph" w:customStyle="1" w:styleId="NUHeading3">
    <w:name w:val="NUHeading3"/>
    <w:basedOn w:val="NUHeading2"/>
    <w:link w:val="NUHeading3Char"/>
    <w:qFormat/>
    <w:rsid w:val="005A6A74"/>
    <w:rPr>
      <w:sz w:val="24"/>
    </w:rPr>
  </w:style>
  <w:style w:type="character" w:customStyle="1" w:styleId="NUHeading2Char">
    <w:name w:val="NUHeading2 Char"/>
    <w:basedOn w:val="Heading2Char"/>
    <w:link w:val="NUHeading2"/>
    <w:rsid w:val="005A6A7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A6A74"/>
    <w:rPr>
      <w:rFonts w:ascii="Roboto Slab Regular" w:eastAsia="Times New Roman" w:hAnsi="Roboto Slab Regular"/>
      <w:bCs/>
      <w:color w:val="344373"/>
      <w:sz w:val="24"/>
      <w:szCs w:val="28"/>
    </w:rPr>
  </w:style>
  <w:style w:type="paragraph" w:styleId="TOAHeading">
    <w:name w:val="toa heading"/>
    <w:basedOn w:val="Normal"/>
    <w:next w:val="Normal"/>
    <w:uiPriority w:val="99"/>
    <w:unhideWhenUsed/>
    <w:rsid w:val="005A6A74"/>
    <w:pPr>
      <w:spacing w:before="120"/>
    </w:pPr>
    <w:rPr>
      <w:rFonts w:asciiTheme="majorHAnsi" w:eastAsia="Times New Roman" w:hAnsiTheme="majorHAns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sharepoint/v3/fields"/>
    <ds:schemaRef ds:uri="http://schemas.openxmlformats.org/package/2006/metadata/core-properties"/>
    <ds:schemaRef ds:uri="http://schemas.microsoft.com/office/2006/documentManagement/types"/>
    <ds:schemaRef ds:uri="http://schemas.microsoft.com/sharepoint/v3"/>
    <ds:schemaRef ds:uri="bd4595a5-0c26-4f37-8662-9fd3f53ff4ea"/>
    <ds:schemaRef ds:uri="http://purl.org/dc/terms/"/>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849010F-F70C-4E7F-89CE-012337BD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19</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2015-02-02T19:51:00Z</dcterms:created>
  <dcterms:modified xsi:type="dcterms:W3CDTF">2015-02-02T19:51:00Z</dcterms:modified>
</cp:coreProperties>
</file>