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8C5" w:rsidRDefault="006F68C5" w:rsidP="00F51DEF">
      <w:pPr>
        <w:pStyle w:val="Title1"/>
      </w:pPr>
      <w:r>
        <w:t>Alternative Minimum Tax</w:t>
      </w:r>
    </w:p>
    <w:p w:rsidR="006F68C5" w:rsidRDefault="006F68C5" w:rsidP="006F68C5">
      <w:pPr>
        <w:pStyle w:val="Heading1"/>
      </w:pPr>
      <w:r>
        <w:t>Introduction</w:t>
      </w:r>
    </w:p>
    <w:p w:rsidR="006F68C5" w:rsidRDefault="006F68C5" w:rsidP="006F68C5">
      <w:pPr>
        <w:pStyle w:val="Body"/>
      </w:pPr>
      <w:r>
        <w:t xml:space="preserve">The alternative minimum tax (AMT) is in essence an income tax system that runs parallel to the “normal” federal income tax system. It is intended to impose a tax on certain taxpayers who have taken advantage of certain tax deductions, such as state and local taxes, or “preferences,” which are items the taxpayer is deemed to be receiving special tax treatment. </w:t>
      </w:r>
    </w:p>
    <w:p w:rsidR="006F68C5" w:rsidRDefault="006F68C5" w:rsidP="006F68C5">
      <w:pPr>
        <w:pStyle w:val="Body"/>
      </w:pPr>
      <w:r>
        <w:t xml:space="preserve">While many individual taxpayers are able to complete and file their tax returns by simply filling out Form 1040 and a few supporting schedules, an increasing number of taxpayers are unwittingly subject to the AMT. Often, the AMT is levied on taxpayers after the fact – that is, the IRS compiles the necessary information and lets the taxpayer know that he forgot to compute the AMT liability and pay the additional tax. </w:t>
      </w:r>
    </w:p>
    <w:p w:rsidR="006F68C5" w:rsidRDefault="006F68C5" w:rsidP="006F68C5">
      <w:pPr>
        <w:pStyle w:val="Body"/>
      </w:pPr>
      <w:r>
        <w:t>Individuals can determine if the AMT applies to them in a given year by preparing IRS Form 6251. Corporations are also potentially subject to the AMT and use IRS Form 4626 to see if the tax applies. These forms are generally not required to be included with the filing of the taxpayer’s return if the AMT does not result in a higher tax liability.</w:t>
      </w:r>
    </w:p>
    <w:p w:rsidR="006F68C5" w:rsidRDefault="006F68C5" w:rsidP="006F68C5">
      <w:pPr>
        <w:pStyle w:val="Body"/>
      </w:pPr>
      <w:r>
        <w:t>Trusts and estates filing income tax returns may also be subject to the AMT. These entities complete Schedule I of Form 1041 to compute their exposure. Pass-through entities like partnerships and S corporations are not subject to the AMT. However, they are responsible for reporting the applicable adjustments or preferences to the partners or shareholders on their Schedule K-1s.</w:t>
      </w:r>
    </w:p>
    <w:p w:rsidR="006F68C5" w:rsidRDefault="006F68C5" w:rsidP="006F68C5">
      <w:pPr>
        <w:pStyle w:val="Body"/>
      </w:pPr>
      <w:r>
        <w:t>Only a handful of people are even aware of the existence of this separate tax system. Far, far fewer understand how it is determined. Awareness of the AMT has been growing as more taxpayers fall under its reach. On the other hand, anyone who advises others must constantly be aware of the potential AMT impact of any recommendations that they make.</w:t>
      </w:r>
    </w:p>
    <w:p w:rsidR="006F68C5" w:rsidRDefault="006F68C5" w:rsidP="006F68C5">
      <w:pPr>
        <w:pStyle w:val="Body"/>
      </w:pPr>
      <w:r>
        <w:t>For 2013, an estimated 3.9 million taxpayers were subject to the AMT. This represents over four percent of all taxpayers.</w:t>
      </w:r>
      <w:r>
        <w:rPr>
          <w:rStyle w:val="EndnoteReference"/>
        </w:rPr>
        <w:endnoteReference w:id="1"/>
      </w:r>
      <w:r>
        <w:t xml:space="preserve"> The American Taxpayer Relief Act of 2012 (ATRA) provides for permanent indexing of the exemptions, brackets, and phase-outs, which protects even larger numbers of taxpayers from being caught in the snare of the AMT. </w:t>
      </w:r>
    </w:p>
    <w:p w:rsidR="006F68C5" w:rsidRDefault="006F68C5" w:rsidP="006F68C5">
      <w:pPr>
        <w:pStyle w:val="Heading1"/>
      </w:pPr>
      <w:r>
        <w:t>How is AMT Determined for Individuals?</w:t>
      </w:r>
    </w:p>
    <w:p w:rsidR="00F51DEF" w:rsidRDefault="006F68C5" w:rsidP="006F68C5">
      <w:pPr>
        <w:pStyle w:val="Body"/>
      </w:pPr>
      <w:r>
        <w:t xml:space="preserve">The AMT is assessed at a rate of 26 percent of alternative minimum taxable income (AMTI) up to $175,000 ($87,500 for married taxpayers filing separately) and 28 percent </w:t>
      </w:r>
      <w:r w:rsidR="00F51DEF">
        <w:br w:type="page"/>
      </w:r>
    </w:p>
    <w:p w:rsidR="00F51DEF" w:rsidRDefault="00F51DEF" w:rsidP="00F51DEF">
      <w:pPr>
        <w:pStyle w:val="Title2"/>
      </w:pPr>
      <w:r>
        <w:lastRenderedPageBreak/>
        <w:t>Alternative Minimum Tax</w:t>
      </w:r>
    </w:p>
    <w:p w:rsidR="006F68C5" w:rsidRDefault="00091E9B" w:rsidP="006F68C5">
      <w:pPr>
        <w:pStyle w:val="Body"/>
      </w:pPr>
      <w:proofErr w:type="gramStart"/>
      <w:r>
        <w:t>of</w:t>
      </w:r>
      <w:proofErr w:type="gramEnd"/>
      <w:r>
        <w:t xml:space="preserve"> AMTI exceeding that amount.</w:t>
      </w:r>
      <w:r>
        <w:rPr>
          <w:rStyle w:val="EndnoteReference"/>
        </w:rPr>
        <w:endnoteReference w:id="2"/>
      </w:r>
      <w:r>
        <w:t xml:space="preserve"> Preferential tax rates for long-term capital gains and qualifying </w:t>
      </w:r>
      <w:r w:rsidR="006F68C5">
        <w:t>dividends are also used in determining an individual’s AMT</w:t>
      </w:r>
      <w:proofErr w:type="gramStart"/>
      <w:r w:rsidR="006F68C5">
        <w:t>.</w:t>
      </w:r>
      <w:proofErr w:type="gramEnd"/>
      <w:r w:rsidR="006F68C5">
        <w:rPr>
          <w:rStyle w:val="EndnoteReference"/>
        </w:rPr>
        <w:endnoteReference w:id="3"/>
      </w:r>
      <w:r w:rsidR="006F68C5">
        <w:t>Beginning in 2013, the income thresholds are indexed for inflation. The applicable amount for 2014 is $182,500 for all taxpayers except those married filing separately, which is half of this amount.</w:t>
      </w:r>
    </w:p>
    <w:p w:rsidR="006F68C5" w:rsidRDefault="006F68C5" w:rsidP="006F68C5">
      <w:pPr>
        <w:pStyle w:val="Body"/>
      </w:pPr>
      <w:r>
        <w:t>With a maximum tax rate of 28 percent, many taxpayers automatically (and incorrectly) assume that if they are in the 28 percent tax bracket or above, the AMT could not possibly apply to them. How is it possible that the AMT would apply when my marginal tax rate is higher than the maximum AMT rate? The answer lies in the differences between the computation of regular taxable income and AMTI. A myriad of add-backs and special tax rules mean that a taxpayer may have an AMTI that is significantly higher than his or her regular taxable income.</w:t>
      </w:r>
    </w:p>
    <w:p w:rsidR="006F68C5" w:rsidRDefault="006F68C5" w:rsidP="006F68C5">
      <w:pPr>
        <w:pStyle w:val="Body"/>
      </w:pPr>
      <w:r>
        <w:t>A taxpayer’s AMTI and AMT are computed as follows:</w:t>
      </w:r>
    </w:p>
    <w:p w:rsidR="006F68C5" w:rsidRDefault="006F68C5" w:rsidP="006F68C5">
      <w:pPr>
        <w:pStyle w:val="List"/>
      </w:pPr>
      <w:r w:rsidRPr="00464902">
        <w:rPr>
          <w:i/>
        </w:rPr>
        <w:t>Step 1: Adjust taxable income.</w:t>
      </w:r>
      <w:r>
        <w:t xml:space="preserve"> First, compute taxable income using Form 1040</w:t>
      </w:r>
      <w:r>
        <w:rPr>
          <w:rStyle w:val="EndnoteReference"/>
        </w:rPr>
        <w:endnoteReference w:id="4"/>
      </w:r>
      <w:r>
        <w:t>then add or subtract the adjustments to taxable income (as discussed below).</w:t>
      </w:r>
      <w:r>
        <w:rPr>
          <w:rStyle w:val="EndnoteReference"/>
        </w:rPr>
        <w:endnoteReference w:id="5"/>
      </w:r>
    </w:p>
    <w:p w:rsidR="006F68C5" w:rsidRPr="00464902" w:rsidRDefault="006F68C5" w:rsidP="006F68C5">
      <w:pPr>
        <w:pStyle w:val="List"/>
        <w:rPr>
          <w:b/>
        </w:rPr>
      </w:pPr>
      <w:r w:rsidRPr="00464902">
        <w:rPr>
          <w:i/>
        </w:rPr>
        <w:t>Step 2: Add the amount of preference items.</w:t>
      </w:r>
      <w:r>
        <w:t xml:space="preserve"> “Preference items” are specific tax items, discussed below, on which the taxpayer is receiving preferential tax treatment.</w:t>
      </w:r>
      <w:r>
        <w:rPr>
          <w:rStyle w:val="EndnoteReference"/>
        </w:rPr>
        <w:endnoteReference w:id="6"/>
      </w:r>
      <w:r>
        <w:t xml:space="preserve"> </w:t>
      </w:r>
      <w:r w:rsidRPr="00464902">
        <w:rPr>
          <w:b/>
        </w:rPr>
        <w:t>The result is the taxpayer’s AMTI.</w:t>
      </w:r>
    </w:p>
    <w:p w:rsidR="006F68C5" w:rsidRDefault="006F68C5" w:rsidP="006F68C5">
      <w:pPr>
        <w:pStyle w:val="List"/>
      </w:pPr>
      <w:r w:rsidRPr="00464902">
        <w:rPr>
          <w:i/>
        </w:rPr>
        <w:t>Step 3: Compute the applicable exemption amount.</w:t>
      </w:r>
      <w:r>
        <w:t xml:space="preserve"> Like the regular taxable income, the AMTI has exemption amounts that are based on the taxpayer’s filing status. Unlike the exemptions for regular taxable income, the AMTI exemptions are phased-out for incomes above certain thresholds. </w:t>
      </w:r>
    </w:p>
    <w:p w:rsidR="006F68C5" w:rsidRDefault="006F68C5" w:rsidP="006F68C5">
      <w:pPr>
        <w:pStyle w:val="BodyTextIndent"/>
      </w:pPr>
      <w:r>
        <w:t>For 2014, exemption amounts can be up to 82,100 for a married couple filing jointly, $52,800 for a single taxpayer, or $41,040 for a married individual filing separately.</w:t>
      </w:r>
      <w:r>
        <w:rPr>
          <w:rStyle w:val="EndnoteReference"/>
        </w:rPr>
        <w:endnoteReference w:id="7"/>
      </w:r>
      <w:r>
        <w:t xml:space="preserve"> The actual allowable exemption is computed by reducing the exemption limits above by 25 percent of the amount by which AMTI exceeds certain levels. Those levels are $156,500 for married taxpayers filing jointly, $117,300 for single taxpayers, and $78,250 for married taxpayers filing separately.</w:t>
      </w:r>
      <w:r>
        <w:rPr>
          <w:rStyle w:val="EndnoteReference"/>
        </w:rPr>
        <w:endnoteReference w:id="8"/>
      </w:r>
      <w:r>
        <w:t xml:space="preserve"> </w:t>
      </w:r>
    </w:p>
    <w:p w:rsidR="00F51DEF" w:rsidRDefault="006F68C5" w:rsidP="006F68C5">
      <w:pPr>
        <w:pStyle w:val="BodyTextIndent"/>
      </w:pPr>
      <w:r>
        <w:t>Note that the reduction in AMTI exemption means that taxpayers with income above certain levels effectively have no exemption. In 2014, the exemption is completely phased out for joint filers with AMTI in excess of $482,300, single filers with AMTI over $328,500, and spouses filing separately with AMTI more than$242,410 for married individuals filing separately.</w:t>
      </w:r>
      <w:r w:rsidR="00F51DEF">
        <w:br w:type="page"/>
      </w:r>
    </w:p>
    <w:p w:rsidR="00F51DEF" w:rsidRDefault="00F51DEF" w:rsidP="00F51DEF">
      <w:pPr>
        <w:pStyle w:val="Title2"/>
      </w:pPr>
      <w:r>
        <w:lastRenderedPageBreak/>
        <w:t>Alternative Minimum Tax</w:t>
      </w:r>
    </w:p>
    <w:p w:rsidR="006F68C5" w:rsidRDefault="006F68C5" w:rsidP="006F68C5">
      <w:pPr>
        <w:pStyle w:val="BodyTextIndent"/>
      </w:pPr>
      <w:r>
        <w:t xml:space="preserve">Related to the phase-out of the exemptions is a provision for certain married individuals who file separate returns to increase their AMTI. In 2014, a married individual filing a separate return must increase AMTI by the </w:t>
      </w:r>
      <w:proofErr w:type="gramStart"/>
      <w:r>
        <w:t>lesser</w:t>
      </w:r>
      <w:proofErr w:type="gramEnd"/>
      <w:r>
        <w:t xml:space="preserve"> of (a) 25 percent of the excess of the AMTI over $242,410, or (b) $41,040.</w:t>
      </w:r>
      <w:r>
        <w:rPr>
          <w:rStyle w:val="EndnoteReference"/>
        </w:rPr>
        <w:endnoteReference w:id="9"/>
      </w:r>
    </w:p>
    <w:p w:rsidR="006F68C5" w:rsidRDefault="006F68C5" w:rsidP="006F68C5">
      <w:pPr>
        <w:pStyle w:val="List"/>
      </w:pPr>
      <w:r w:rsidRPr="00464902">
        <w:rPr>
          <w:i/>
        </w:rPr>
        <w:t>Step 4: Compute the AMT</w:t>
      </w:r>
      <w:r>
        <w:t>. The tax rates are then applied to the taxpayer’s AMTI (less any exemption) to yield the “tentative minimum tax.” If the tentative minimum tax computed under this formula does not exceed the taxpayer’s regular tax, the AMT does not apply. If the computed tentative minimum tax exceeds the taxpayer’s regular tax, the excess of the tentative minimum tax over the regular tax is the AMT that is added to the tax liability computed in the normal manner.</w:t>
      </w:r>
    </w:p>
    <w:p w:rsidR="006F68C5" w:rsidRDefault="006F68C5" w:rsidP="006F68C5">
      <w:pPr>
        <w:pStyle w:val="BodyTextIndent"/>
      </w:pPr>
      <w:proofErr w:type="gramStart"/>
      <w:r>
        <w:rPr>
          <w:i/>
        </w:rPr>
        <w:t>Example</w:t>
      </w:r>
      <w:r>
        <w:t>.</w:t>
      </w:r>
      <w:proofErr w:type="gramEnd"/>
      <w:r>
        <w:t xml:space="preserve"> Assume Dr. and Mrs. Ginsburg file a joint return for 2014. They have two dependent children. Their regular tax was computed to be $25,463.</w:t>
      </w:r>
    </w:p>
    <w:tbl>
      <w:tblPr>
        <w:tblStyle w:val="NewStyle2014"/>
        <w:tblW w:w="0" w:type="auto"/>
        <w:tblLook w:val="04A0" w:firstRow="1" w:lastRow="0" w:firstColumn="1" w:lastColumn="0" w:noHBand="0" w:noVBand="1"/>
      </w:tblPr>
      <w:tblGrid>
        <w:gridCol w:w="4824"/>
        <w:gridCol w:w="2700"/>
      </w:tblGrid>
      <w:tr w:rsidR="00F51DEF" w:rsidRPr="00F51DEF" w:rsidTr="00F51D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4" w:type="dxa"/>
            <w:shd w:val="clear" w:color="auto" w:fill="D9D9D9" w:themeFill="background1" w:themeFillShade="D9"/>
          </w:tcPr>
          <w:p w:rsidR="006F68C5" w:rsidRPr="00F51DEF" w:rsidRDefault="006F68C5" w:rsidP="00F51DEF">
            <w:pPr>
              <w:pStyle w:val="TableBody"/>
              <w:jc w:val="left"/>
              <w:rPr>
                <w:b w:val="0"/>
                <w:color w:val="auto"/>
              </w:rPr>
            </w:pPr>
            <w:r w:rsidRPr="00F51DEF">
              <w:rPr>
                <w:b w:val="0"/>
                <w:color w:val="auto"/>
              </w:rPr>
              <w:t>Joint taxable income:</w:t>
            </w:r>
          </w:p>
        </w:tc>
        <w:tc>
          <w:tcPr>
            <w:tcW w:w="2700" w:type="dxa"/>
            <w:shd w:val="clear" w:color="auto" w:fill="D9D9D9" w:themeFill="background1" w:themeFillShade="D9"/>
          </w:tcPr>
          <w:p w:rsidR="006F68C5" w:rsidRPr="00F51DEF" w:rsidRDefault="006F68C5" w:rsidP="006F68C5">
            <w:pPr>
              <w:pStyle w:val="TableBody"/>
              <w:jc w:val="right"/>
              <w:cnfStyle w:val="100000000000" w:firstRow="1" w:lastRow="0" w:firstColumn="0" w:lastColumn="0" w:oddVBand="0" w:evenVBand="0" w:oddHBand="0" w:evenHBand="0" w:firstRowFirstColumn="0" w:firstRowLastColumn="0" w:lastRowFirstColumn="0" w:lastRowLastColumn="0"/>
              <w:rPr>
                <w:b w:val="0"/>
                <w:color w:val="auto"/>
              </w:rPr>
            </w:pPr>
            <w:r w:rsidRPr="00F51DEF">
              <w:rPr>
                <w:b w:val="0"/>
                <w:color w:val="auto"/>
              </w:rPr>
              <w:t>$135,000</w:t>
            </w:r>
          </w:p>
        </w:tc>
      </w:tr>
      <w:tr w:rsidR="006F68C5" w:rsidTr="00F51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4" w:type="dxa"/>
          </w:tcPr>
          <w:p w:rsidR="006F68C5" w:rsidRDefault="006F68C5" w:rsidP="00F51DEF">
            <w:pPr>
              <w:pStyle w:val="TableBody"/>
            </w:pPr>
            <w:r>
              <w:t>AMT adjustments to taxable income:</w:t>
            </w:r>
          </w:p>
        </w:tc>
        <w:tc>
          <w:tcPr>
            <w:tcW w:w="2700" w:type="dxa"/>
          </w:tcPr>
          <w:p w:rsidR="006F68C5" w:rsidRDefault="006F68C5" w:rsidP="006F68C5">
            <w:pPr>
              <w:pStyle w:val="TableBody"/>
              <w:jc w:val="right"/>
              <w:cnfStyle w:val="000000100000" w:firstRow="0" w:lastRow="0" w:firstColumn="0" w:lastColumn="0" w:oddVBand="0" w:evenVBand="0" w:oddHBand="1" w:evenHBand="0" w:firstRowFirstColumn="0" w:firstRowLastColumn="0" w:lastRowFirstColumn="0" w:lastRowLastColumn="0"/>
            </w:pPr>
            <w:r>
              <w:t>30,000</w:t>
            </w:r>
          </w:p>
        </w:tc>
      </w:tr>
      <w:tr w:rsidR="006F68C5" w:rsidTr="00F51D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4" w:type="dxa"/>
          </w:tcPr>
          <w:p w:rsidR="006F68C5" w:rsidRDefault="006F68C5" w:rsidP="00F51DEF">
            <w:pPr>
              <w:pStyle w:val="TableBody"/>
            </w:pPr>
            <w:r>
              <w:t>Total of tax preference items:</w:t>
            </w:r>
          </w:p>
        </w:tc>
        <w:tc>
          <w:tcPr>
            <w:tcW w:w="2700" w:type="dxa"/>
          </w:tcPr>
          <w:p w:rsidR="006F68C5" w:rsidRDefault="006F68C5" w:rsidP="006F68C5">
            <w:pPr>
              <w:pStyle w:val="TableBody"/>
              <w:jc w:val="right"/>
              <w:cnfStyle w:val="000000010000" w:firstRow="0" w:lastRow="0" w:firstColumn="0" w:lastColumn="0" w:oddVBand="0" w:evenVBand="0" w:oddHBand="0" w:evenHBand="1" w:firstRowFirstColumn="0" w:firstRowLastColumn="0" w:lastRowFirstColumn="0" w:lastRowLastColumn="0"/>
            </w:pPr>
            <w:r>
              <w:t>57,000</w:t>
            </w:r>
          </w:p>
        </w:tc>
      </w:tr>
      <w:tr w:rsidR="006F68C5" w:rsidTr="00F51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4" w:type="dxa"/>
          </w:tcPr>
          <w:p w:rsidR="006F68C5" w:rsidRPr="008A0745" w:rsidRDefault="006F68C5" w:rsidP="00F51DEF">
            <w:pPr>
              <w:pStyle w:val="TableBody"/>
              <w:rPr>
                <w:b/>
              </w:rPr>
            </w:pPr>
            <w:r w:rsidRPr="008A0745">
              <w:rPr>
                <w:b/>
              </w:rPr>
              <w:t>Subtotal:</w:t>
            </w:r>
          </w:p>
        </w:tc>
        <w:tc>
          <w:tcPr>
            <w:tcW w:w="2700" w:type="dxa"/>
          </w:tcPr>
          <w:p w:rsidR="006F68C5" w:rsidRPr="008A0745" w:rsidRDefault="006F68C5" w:rsidP="006F68C5">
            <w:pPr>
              <w:pStyle w:val="TableBody"/>
              <w:jc w:val="right"/>
              <w:cnfStyle w:val="000000100000" w:firstRow="0" w:lastRow="0" w:firstColumn="0" w:lastColumn="0" w:oddVBand="0" w:evenVBand="0" w:oddHBand="1" w:evenHBand="0" w:firstRowFirstColumn="0" w:firstRowLastColumn="0" w:lastRowFirstColumn="0" w:lastRowLastColumn="0"/>
              <w:rPr>
                <w:b/>
              </w:rPr>
            </w:pPr>
            <w:r w:rsidRPr="008A0745">
              <w:rPr>
                <w:b/>
              </w:rPr>
              <w:t>$222,000</w:t>
            </w:r>
          </w:p>
        </w:tc>
      </w:tr>
      <w:tr w:rsidR="006F68C5" w:rsidTr="00F51D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4" w:type="dxa"/>
          </w:tcPr>
          <w:p w:rsidR="006F68C5" w:rsidRDefault="006F68C5" w:rsidP="00F51DEF">
            <w:pPr>
              <w:pStyle w:val="TableBody"/>
            </w:pPr>
            <w:r>
              <w:t>Tentative AMT exemption:</w:t>
            </w:r>
          </w:p>
        </w:tc>
        <w:tc>
          <w:tcPr>
            <w:tcW w:w="2700" w:type="dxa"/>
          </w:tcPr>
          <w:p w:rsidR="006F68C5" w:rsidRDefault="006F68C5" w:rsidP="006F68C5">
            <w:pPr>
              <w:pStyle w:val="TableBody"/>
              <w:jc w:val="right"/>
              <w:cnfStyle w:val="000000010000" w:firstRow="0" w:lastRow="0" w:firstColumn="0" w:lastColumn="0" w:oddVBand="0" w:evenVBand="0" w:oddHBand="0" w:evenHBand="1" w:firstRowFirstColumn="0" w:firstRowLastColumn="0" w:lastRowFirstColumn="0" w:lastRowLastColumn="0"/>
            </w:pPr>
            <w:r>
              <w:t>$82,100</w:t>
            </w:r>
          </w:p>
        </w:tc>
      </w:tr>
      <w:tr w:rsidR="006F68C5" w:rsidTr="00F51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4" w:type="dxa"/>
          </w:tcPr>
          <w:p w:rsidR="006F68C5" w:rsidRDefault="006F68C5" w:rsidP="00F51DEF">
            <w:pPr>
              <w:pStyle w:val="TableBody"/>
            </w:pPr>
            <w:r>
              <w:t>Reduction of AMT exemption:</w:t>
            </w:r>
          </w:p>
        </w:tc>
        <w:tc>
          <w:tcPr>
            <w:tcW w:w="2700" w:type="dxa"/>
          </w:tcPr>
          <w:p w:rsidR="006F68C5" w:rsidRDefault="006F68C5" w:rsidP="006F68C5">
            <w:pPr>
              <w:pStyle w:val="TableBody"/>
              <w:jc w:val="right"/>
              <w:cnfStyle w:val="000000100000" w:firstRow="0" w:lastRow="0" w:firstColumn="0" w:lastColumn="0" w:oddVBand="0" w:evenVBand="0" w:oddHBand="1" w:evenHBand="0" w:firstRowFirstColumn="0" w:firstRowLastColumn="0" w:lastRowFirstColumn="0" w:lastRowLastColumn="0"/>
            </w:pPr>
            <w:r>
              <w:t xml:space="preserve">$16,375 = 25% of </w:t>
            </w:r>
            <w:r w:rsidRPr="006178F4">
              <w:t xml:space="preserve"> ($222,000 – 156,500)</w:t>
            </w:r>
          </w:p>
        </w:tc>
      </w:tr>
      <w:tr w:rsidR="006F68C5" w:rsidTr="00F51D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4" w:type="dxa"/>
          </w:tcPr>
          <w:p w:rsidR="006F68C5" w:rsidRDefault="006F68C5" w:rsidP="00F51DEF">
            <w:pPr>
              <w:pStyle w:val="TableBody"/>
            </w:pPr>
            <w:r>
              <w:t xml:space="preserve">Actual AMT exemption (after reduction: </w:t>
            </w:r>
          </w:p>
        </w:tc>
        <w:tc>
          <w:tcPr>
            <w:tcW w:w="2700" w:type="dxa"/>
          </w:tcPr>
          <w:p w:rsidR="006F68C5" w:rsidRDefault="006F68C5" w:rsidP="006F68C5">
            <w:pPr>
              <w:pStyle w:val="TableBody"/>
              <w:jc w:val="right"/>
              <w:cnfStyle w:val="000000010000" w:firstRow="0" w:lastRow="0" w:firstColumn="0" w:lastColumn="0" w:oddVBand="0" w:evenVBand="0" w:oddHBand="0" w:evenHBand="1" w:firstRowFirstColumn="0" w:firstRowLastColumn="0" w:lastRowFirstColumn="0" w:lastRowLastColumn="0"/>
            </w:pPr>
            <w:r>
              <w:t>$65,725</w:t>
            </w:r>
          </w:p>
        </w:tc>
      </w:tr>
      <w:tr w:rsidR="006F68C5" w:rsidTr="00F51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4" w:type="dxa"/>
          </w:tcPr>
          <w:p w:rsidR="006F68C5" w:rsidRDefault="006F68C5" w:rsidP="00F51DEF">
            <w:pPr>
              <w:pStyle w:val="TableBody"/>
            </w:pPr>
            <w:r>
              <w:t>Alternative minimum taxable income (AMTI):</w:t>
            </w:r>
          </w:p>
        </w:tc>
        <w:tc>
          <w:tcPr>
            <w:tcW w:w="2700" w:type="dxa"/>
          </w:tcPr>
          <w:p w:rsidR="006F68C5" w:rsidRDefault="006F68C5" w:rsidP="006F68C5">
            <w:pPr>
              <w:pStyle w:val="TableBody"/>
              <w:jc w:val="right"/>
              <w:cnfStyle w:val="000000100000" w:firstRow="0" w:lastRow="0" w:firstColumn="0" w:lastColumn="0" w:oddVBand="0" w:evenVBand="0" w:oddHBand="1" w:evenHBand="0" w:firstRowFirstColumn="0" w:firstRowLastColumn="0" w:lastRowFirstColumn="0" w:lastRowLastColumn="0"/>
            </w:pPr>
            <w:r>
              <w:t>$156,375</w:t>
            </w:r>
          </w:p>
        </w:tc>
      </w:tr>
      <w:tr w:rsidR="006F68C5" w:rsidTr="00F51D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4" w:type="dxa"/>
          </w:tcPr>
          <w:p w:rsidR="006F68C5" w:rsidRDefault="006F68C5" w:rsidP="00F51DEF">
            <w:pPr>
              <w:pStyle w:val="TableBody"/>
            </w:pPr>
            <w:r>
              <w:t>Tentative minimum tax:</w:t>
            </w:r>
          </w:p>
        </w:tc>
        <w:tc>
          <w:tcPr>
            <w:tcW w:w="2700" w:type="dxa"/>
          </w:tcPr>
          <w:p w:rsidR="006F68C5" w:rsidRDefault="006F68C5" w:rsidP="006F68C5">
            <w:pPr>
              <w:pStyle w:val="TableBody"/>
              <w:jc w:val="right"/>
              <w:cnfStyle w:val="000000010000" w:firstRow="0" w:lastRow="0" w:firstColumn="0" w:lastColumn="0" w:oddVBand="0" w:evenVBand="0" w:oddHBand="0" w:evenHBand="1" w:firstRowFirstColumn="0" w:firstRowLastColumn="0" w:lastRowFirstColumn="0" w:lastRowLastColumn="0"/>
            </w:pPr>
            <w:r>
              <w:t>$40,632</w:t>
            </w:r>
          </w:p>
        </w:tc>
      </w:tr>
    </w:tbl>
    <w:p w:rsidR="006F68C5" w:rsidRDefault="006F68C5" w:rsidP="00684986">
      <w:pPr>
        <w:pStyle w:val="BodyTextIndent"/>
      </w:pPr>
      <w:r>
        <w:t xml:space="preserve">The excess of the </w:t>
      </w:r>
      <w:proofErr w:type="spellStart"/>
      <w:r>
        <w:t>Ginsburgs</w:t>
      </w:r>
      <w:proofErr w:type="spellEnd"/>
      <w:r>
        <w:t>’ tentative minimum tax ($40,632) over their regular tax ($25,463) is $15,169. This amount becomes their alternative minimum tax liability and is added to their regular tax. They would therefore pay a total tax of $40,632.</w:t>
      </w:r>
    </w:p>
    <w:p w:rsidR="006F68C5" w:rsidRDefault="006F68C5" w:rsidP="006F68C5">
      <w:pPr>
        <w:pStyle w:val="Heading1"/>
      </w:pPr>
      <w:r>
        <w:t>How is AMT Determined for Corporations?</w:t>
      </w:r>
    </w:p>
    <w:p w:rsidR="00F51DEF" w:rsidRDefault="006F68C5" w:rsidP="006F68C5">
      <w:pPr>
        <w:pStyle w:val="Body"/>
      </w:pPr>
      <w:r>
        <w:t>Corporations were first made subject to the AMT with the imposition of the Tax Reform Act of 1986. Only S corporations and certain small corporations that qualify for an exemption are not subject to the AMT. In the case of S corporations, the adjustments and preferences are determined at the corporate level and are passed on to the shareholders on Schedule K-1 each year.</w:t>
      </w:r>
      <w:r w:rsidR="00F51DEF">
        <w:br w:type="page"/>
      </w:r>
    </w:p>
    <w:p w:rsidR="00F51DEF" w:rsidRDefault="00F51DEF" w:rsidP="00F51DEF">
      <w:pPr>
        <w:pStyle w:val="Title2"/>
      </w:pPr>
      <w:r>
        <w:lastRenderedPageBreak/>
        <w:t>Alternative Minimum Tax</w:t>
      </w:r>
    </w:p>
    <w:p w:rsidR="006F68C5" w:rsidRDefault="006F68C5" w:rsidP="006F68C5">
      <w:pPr>
        <w:pStyle w:val="Body"/>
      </w:pPr>
      <w:r>
        <w:t>The corporate AMT is assessed at a rate of 20 percent of the “corporate AMTI.” If this tentative minimum tax exceeds the regular corporate tax, the excess is the AMT for the year. Figure 9.1 provides detailed instructions for calculating a corporation’s AMT.</w:t>
      </w:r>
    </w:p>
    <w:tbl>
      <w:tblPr>
        <w:tblStyle w:val="NewStyle2014"/>
        <w:tblW w:w="0" w:type="auto"/>
        <w:tblLook w:val="04A0" w:firstRow="1" w:lastRow="0" w:firstColumn="1" w:lastColumn="0" w:noHBand="0" w:noVBand="1"/>
      </w:tblPr>
      <w:tblGrid>
        <w:gridCol w:w="918"/>
        <w:gridCol w:w="3969"/>
        <w:gridCol w:w="3969"/>
      </w:tblGrid>
      <w:tr w:rsidR="00F51DEF" w:rsidTr="00F51D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3"/>
            <w:shd w:val="clear" w:color="auto" w:fill="auto"/>
          </w:tcPr>
          <w:p w:rsidR="00F51DEF" w:rsidRPr="00740603" w:rsidRDefault="00091E9B" w:rsidP="00F51DEF">
            <w:pPr>
              <w:pStyle w:val="TableTitle1"/>
            </w:pPr>
            <w:r>
              <w:t xml:space="preserve">Figure </w:t>
            </w:r>
            <w:r w:rsidR="00F51DEF" w:rsidRPr="00464902">
              <w:t>1</w:t>
            </w:r>
          </w:p>
        </w:tc>
      </w:tr>
      <w:tr w:rsidR="006F68C5" w:rsidTr="00F51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3"/>
            <w:shd w:val="clear" w:color="auto" w:fill="344373"/>
          </w:tcPr>
          <w:p w:rsidR="006F68C5" w:rsidRPr="00740603" w:rsidRDefault="006F68C5" w:rsidP="006F68C5">
            <w:pPr>
              <w:pStyle w:val="TableHead1"/>
            </w:pPr>
            <w:r w:rsidRPr="00740603">
              <w:t>C</w:t>
            </w:r>
            <w:r>
              <w:t>alculation of Corporate</w:t>
            </w:r>
            <w:r w:rsidRPr="00740603">
              <w:t xml:space="preserve"> AMT</w:t>
            </w:r>
          </w:p>
        </w:tc>
      </w:tr>
      <w:tr w:rsidR="006F68C5" w:rsidTr="00F51D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rsidR="006F68C5" w:rsidRDefault="006F68C5" w:rsidP="006F68C5">
            <w:pPr>
              <w:pStyle w:val="TableBody"/>
            </w:pPr>
            <w:r>
              <w:t>Step 1</w:t>
            </w:r>
          </w:p>
        </w:tc>
        <w:tc>
          <w:tcPr>
            <w:tcW w:w="7938" w:type="dxa"/>
            <w:gridSpan w:val="2"/>
          </w:tcPr>
          <w:p w:rsidR="006F68C5" w:rsidRDefault="006F68C5" w:rsidP="006F68C5">
            <w:pPr>
              <w:pStyle w:val="TableBody"/>
              <w:cnfStyle w:val="000000010000" w:firstRow="0" w:lastRow="0" w:firstColumn="0" w:lastColumn="0" w:oddVBand="0" w:evenVBand="0" w:oddHBand="0" w:evenHBand="1" w:firstRowFirstColumn="0" w:firstRowLastColumn="0" w:lastRowFirstColumn="0" w:lastRowLastColumn="0"/>
            </w:pPr>
            <w:r>
              <w:t>Calculate taxable income (or loss) before any net operating loss deduction using Form 1120</w:t>
            </w:r>
            <w:r>
              <w:rPr>
                <w:rStyle w:val="EndnoteReference"/>
              </w:rPr>
              <w:endnoteReference w:id="10"/>
            </w:r>
          </w:p>
        </w:tc>
      </w:tr>
      <w:tr w:rsidR="006F68C5" w:rsidTr="00F51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rsidR="006F68C5" w:rsidRDefault="006F68C5" w:rsidP="006F68C5">
            <w:pPr>
              <w:pStyle w:val="TableBody"/>
            </w:pPr>
            <w:r>
              <w:t>Step 2</w:t>
            </w:r>
          </w:p>
        </w:tc>
        <w:tc>
          <w:tcPr>
            <w:tcW w:w="7938" w:type="dxa"/>
            <w:gridSpan w:val="2"/>
          </w:tcPr>
          <w:p w:rsidR="006F68C5" w:rsidRDefault="006F68C5" w:rsidP="006F68C5">
            <w:pPr>
              <w:pStyle w:val="TableBody"/>
              <w:cnfStyle w:val="000000100000" w:firstRow="0" w:lastRow="0" w:firstColumn="0" w:lastColumn="0" w:oddVBand="0" w:evenVBand="0" w:oddHBand="1" w:evenHBand="0" w:firstRowFirstColumn="0" w:firstRowLastColumn="0" w:lastRowFirstColumn="0" w:lastRowLastColumn="0"/>
            </w:pPr>
            <w:r>
              <w:t>Add or subtract Adjustments to taxable income</w:t>
            </w:r>
            <w:r>
              <w:rPr>
                <w:rStyle w:val="EndnoteReference"/>
              </w:rPr>
              <w:endnoteReference w:id="11"/>
            </w:r>
          </w:p>
        </w:tc>
      </w:tr>
      <w:tr w:rsidR="006F68C5" w:rsidTr="00F51D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rsidR="006F68C5" w:rsidRDefault="006F68C5" w:rsidP="006F68C5">
            <w:pPr>
              <w:pStyle w:val="TableBody"/>
            </w:pPr>
            <w:r>
              <w:t>Step 3</w:t>
            </w:r>
          </w:p>
        </w:tc>
        <w:tc>
          <w:tcPr>
            <w:tcW w:w="7938" w:type="dxa"/>
            <w:gridSpan w:val="2"/>
          </w:tcPr>
          <w:p w:rsidR="006F68C5" w:rsidRPr="00464902" w:rsidRDefault="006F68C5" w:rsidP="006F68C5">
            <w:pPr>
              <w:pStyle w:val="TableBody"/>
              <w:cnfStyle w:val="000000010000" w:firstRow="0" w:lastRow="0" w:firstColumn="0" w:lastColumn="0" w:oddVBand="0" w:evenVBand="0" w:oddHBand="0" w:evenHBand="1" w:firstRowFirstColumn="0" w:firstRowLastColumn="0" w:lastRowFirstColumn="0" w:lastRowLastColumn="0"/>
            </w:pPr>
            <w:r>
              <w:t>Add the amount of “preference items.”</w:t>
            </w:r>
            <w:r>
              <w:rPr>
                <w:rStyle w:val="EndnoteReference"/>
              </w:rPr>
              <w:endnoteReference w:id="12"/>
            </w:r>
            <w:r w:rsidRPr="00464902">
              <w:t xml:space="preserve">The result is the </w:t>
            </w:r>
            <w:r w:rsidRPr="00740603">
              <w:rPr>
                <w:i/>
              </w:rPr>
              <w:t>pre-adjustment AMTI.</w:t>
            </w:r>
          </w:p>
        </w:tc>
      </w:tr>
      <w:tr w:rsidR="006F68C5" w:rsidTr="00F51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vMerge w:val="restart"/>
          </w:tcPr>
          <w:p w:rsidR="006F68C5" w:rsidRDefault="006F68C5" w:rsidP="006F68C5">
            <w:pPr>
              <w:pStyle w:val="TableBody"/>
            </w:pPr>
            <w:r>
              <w:t>Step 4</w:t>
            </w:r>
          </w:p>
        </w:tc>
        <w:tc>
          <w:tcPr>
            <w:tcW w:w="7938" w:type="dxa"/>
            <w:gridSpan w:val="2"/>
          </w:tcPr>
          <w:p w:rsidR="006F68C5" w:rsidRDefault="006F68C5" w:rsidP="006F68C5">
            <w:pPr>
              <w:pStyle w:val="TableBody"/>
              <w:cnfStyle w:val="000000100000" w:firstRow="0" w:lastRow="0" w:firstColumn="0" w:lastColumn="0" w:oddVBand="0" w:evenVBand="0" w:oddHBand="1" w:evenHBand="0" w:firstRowFirstColumn="0" w:firstRowLastColumn="0" w:lastRowFirstColumn="0" w:lastRowLastColumn="0"/>
            </w:pPr>
            <w:r>
              <w:t>Adjust the pre-adjustment AMTI by either:</w:t>
            </w:r>
          </w:p>
        </w:tc>
      </w:tr>
      <w:tr w:rsidR="006F68C5" w:rsidTr="00F51D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vMerge/>
          </w:tcPr>
          <w:p w:rsidR="006F68C5" w:rsidRPr="00464902" w:rsidRDefault="006F68C5" w:rsidP="006F68C5">
            <w:pPr>
              <w:pStyle w:val="TableBody"/>
            </w:pPr>
          </w:p>
        </w:tc>
        <w:tc>
          <w:tcPr>
            <w:tcW w:w="3969" w:type="dxa"/>
            <w:shd w:val="clear" w:color="auto" w:fill="auto"/>
          </w:tcPr>
          <w:p w:rsidR="006F68C5" w:rsidRPr="00464902" w:rsidRDefault="006F68C5" w:rsidP="006F68C5">
            <w:pPr>
              <w:pStyle w:val="TableBody"/>
              <w:cnfStyle w:val="000000010000" w:firstRow="0" w:lastRow="0" w:firstColumn="0" w:lastColumn="0" w:oddVBand="0" w:evenVBand="0" w:oddHBand="0" w:evenHBand="1" w:firstRowFirstColumn="0" w:firstRowLastColumn="0" w:lastRowFirstColumn="0" w:lastRowLastColumn="0"/>
            </w:pPr>
            <w:r w:rsidRPr="00464902">
              <w:t xml:space="preserve">If the corporation’s adjusted current earnings (ACE) exceeds Pre-adjustment AMTI, 75 percent of the excess of ACE over Pre-adjustment AMTI is added to Pre-adjustment AMTI to yield </w:t>
            </w:r>
            <w:r w:rsidRPr="00740603">
              <w:rPr>
                <w:i/>
              </w:rPr>
              <w:t>post-adjustment AMTI</w:t>
            </w:r>
            <w:r w:rsidRPr="00464902">
              <w:t>.</w:t>
            </w:r>
            <w:r>
              <w:rPr>
                <w:rStyle w:val="EndnoteReference"/>
              </w:rPr>
              <w:endnoteReference w:id="13"/>
            </w:r>
          </w:p>
          <w:p w:rsidR="006F68C5" w:rsidRPr="00464902" w:rsidRDefault="006F68C5" w:rsidP="006F68C5">
            <w:pPr>
              <w:pStyle w:val="TableBody"/>
              <w:cnfStyle w:val="000000010000" w:firstRow="0" w:lastRow="0" w:firstColumn="0" w:lastColumn="0" w:oddVBand="0" w:evenVBand="0" w:oddHBand="0" w:evenHBand="1" w:firstRowFirstColumn="0" w:firstRowLastColumn="0" w:lastRowFirstColumn="0" w:lastRowLastColumn="0"/>
            </w:pPr>
          </w:p>
        </w:tc>
        <w:tc>
          <w:tcPr>
            <w:tcW w:w="3969" w:type="dxa"/>
            <w:shd w:val="clear" w:color="auto" w:fill="auto"/>
          </w:tcPr>
          <w:p w:rsidR="006F68C5" w:rsidRDefault="006F68C5" w:rsidP="006F68C5">
            <w:pPr>
              <w:pStyle w:val="TableBody"/>
              <w:cnfStyle w:val="000000010000" w:firstRow="0" w:lastRow="0" w:firstColumn="0" w:lastColumn="0" w:oddVBand="0" w:evenVBand="0" w:oddHBand="0" w:evenHBand="1" w:firstRowFirstColumn="0" w:firstRowLastColumn="0" w:lastRowFirstColumn="0" w:lastRowLastColumn="0"/>
            </w:pPr>
            <w:r>
              <w:t xml:space="preserve">If the corporation’s ACE is less than pre-adjustment AMTI, the lesser of the following amounts is subtracted from pre-adjustment AMTI to yield </w:t>
            </w:r>
            <w:r w:rsidRPr="00740603">
              <w:rPr>
                <w:i/>
              </w:rPr>
              <w:t>post-adjustment AMTI:</w:t>
            </w:r>
          </w:p>
          <w:p w:rsidR="006F68C5" w:rsidRDefault="006F68C5" w:rsidP="006F68C5">
            <w:pPr>
              <w:pStyle w:val="TableBody"/>
              <w:cnfStyle w:val="000000010000" w:firstRow="0" w:lastRow="0" w:firstColumn="0" w:lastColumn="0" w:oddVBand="0" w:evenVBand="0" w:oddHBand="0" w:evenHBand="1" w:firstRowFirstColumn="0" w:firstRowLastColumn="0" w:lastRowFirstColumn="0" w:lastRowLastColumn="0"/>
            </w:pPr>
            <w:r w:rsidRPr="00740603">
              <w:sym w:font="Symbol" w:char="F0B7"/>
            </w:r>
            <w:r>
              <w:t xml:space="preserve"> 75 percent of the excess of Pre-adjustment AMTI over ACE</w:t>
            </w:r>
            <w:r>
              <w:rPr>
                <w:rStyle w:val="EndnoteReference"/>
              </w:rPr>
              <w:endnoteReference w:id="14"/>
            </w:r>
            <w:r>
              <w:t xml:space="preserve"> and</w:t>
            </w:r>
          </w:p>
          <w:p w:rsidR="006F68C5" w:rsidRDefault="006F68C5" w:rsidP="006F68C5">
            <w:pPr>
              <w:pStyle w:val="TableBody"/>
              <w:cnfStyle w:val="000000010000" w:firstRow="0" w:lastRow="0" w:firstColumn="0" w:lastColumn="0" w:oddVBand="0" w:evenVBand="0" w:oddHBand="0" w:evenHBand="1" w:firstRowFirstColumn="0" w:firstRowLastColumn="0" w:lastRowFirstColumn="0" w:lastRowLastColumn="0"/>
            </w:pPr>
            <w:r w:rsidRPr="00740603">
              <w:sym w:font="Symbol" w:char="F0B7"/>
            </w:r>
            <w:r>
              <w:t xml:space="preserve"> </w:t>
            </w:r>
            <w:proofErr w:type="gramStart"/>
            <w:r>
              <w:t>the</w:t>
            </w:r>
            <w:proofErr w:type="gramEnd"/>
            <w:r>
              <w:t xml:space="preserve"> excess aggregate upward ACE adjustments for prior tax years over the aggregate downward ACE adjustments for prior taxable years.</w:t>
            </w:r>
            <w:r>
              <w:rPr>
                <w:rStyle w:val="EndnoteReference"/>
              </w:rPr>
              <w:endnoteReference w:id="15"/>
            </w:r>
          </w:p>
        </w:tc>
      </w:tr>
      <w:tr w:rsidR="006F68C5" w:rsidTr="00F51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shd w:val="clear" w:color="auto" w:fill="D9D9D9" w:themeFill="background1" w:themeFillShade="D9"/>
          </w:tcPr>
          <w:p w:rsidR="006F68C5" w:rsidRPr="00464902" w:rsidRDefault="006F68C5" w:rsidP="006F68C5">
            <w:pPr>
              <w:pStyle w:val="TableBody"/>
            </w:pPr>
            <w:r w:rsidRPr="00464902">
              <w:t>Step 5</w:t>
            </w:r>
          </w:p>
        </w:tc>
        <w:tc>
          <w:tcPr>
            <w:tcW w:w="7938" w:type="dxa"/>
            <w:gridSpan w:val="2"/>
            <w:shd w:val="clear" w:color="auto" w:fill="D9D9D9" w:themeFill="background1" w:themeFillShade="D9"/>
          </w:tcPr>
          <w:p w:rsidR="006F68C5" w:rsidRPr="00464902" w:rsidRDefault="006F68C5" w:rsidP="006F68C5">
            <w:pPr>
              <w:pStyle w:val="TableBody"/>
              <w:cnfStyle w:val="000000100000" w:firstRow="0" w:lastRow="0" w:firstColumn="0" w:lastColumn="0" w:oddVBand="0" w:evenVBand="0" w:oddHBand="1" w:evenHBand="0" w:firstRowFirstColumn="0" w:firstRowLastColumn="0" w:lastRowFirstColumn="0" w:lastRowLastColumn="0"/>
            </w:pPr>
            <w:r w:rsidRPr="00464902">
              <w:t xml:space="preserve">Subtract any allowable Alternative Tax Net Operating Loss deduction from post-adjustment AMTI. The result is the </w:t>
            </w:r>
            <w:r w:rsidRPr="00740603">
              <w:rPr>
                <w:i/>
              </w:rPr>
              <w:t>final AMTI.</w:t>
            </w:r>
            <w:r w:rsidRPr="00464902">
              <w:t xml:space="preserve"> </w:t>
            </w:r>
          </w:p>
        </w:tc>
      </w:tr>
      <w:tr w:rsidR="006F68C5" w:rsidTr="00F51D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shd w:val="clear" w:color="auto" w:fill="FFFFFF" w:themeFill="background1"/>
          </w:tcPr>
          <w:p w:rsidR="006F68C5" w:rsidRPr="00464902" w:rsidRDefault="006F68C5" w:rsidP="006F68C5">
            <w:pPr>
              <w:pStyle w:val="TableBody"/>
            </w:pPr>
            <w:r w:rsidRPr="00464902">
              <w:t>Step 6</w:t>
            </w:r>
          </w:p>
        </w:tc>
        <w:tc>
          <w:tcPr>
            <w:tcW w:w="7938" w:type="dxa"/>
            <w:gridSpan w:val="2"/>
            <w:shd w:val="clear" w:color="auto" w:fill="FFFFFF" w:themeFill="background1"/>
          </w:tcPr>
          <w:p w:rsidR="006F68C5" w:rsidRPr="00740603" w:rsidRDefault="006F68C5" w:rsidP="006F68C5">
            <w:pPr>
              <w:pStyle w:val="TableBody"/>
              <w:cnfStyle w:val="000000010000" w:firstRow="0" w:lastRow="0" w:firstColumn="0" w:lastColumn="0" w:oddVBand="0" w:evenVBand="0" w:oddHBand="0" w:evenHBand="1" w:firstRowFirstColumn="0" w:firstRowLastColumn="0" w:lastRowFirstColumn="0" w:lastRowLastColumn="0"/>
              <w:rPr>
                <w:b/>
              </w:rPr>
            </w:pPr>
            <w:r w:rsidRPr="00464902">
              <w:t>Calculate and subtract the applicable exemption, up to $40,000.</w:t>
            </w:r>
            <w:r>
              <w:rPr>
                <w:rStyle w:val="EndnoteReference"/>
              </w:rPr>
              <w:endnoteReference w:id="16"/>
            </w:r>
            <w:r w:rsidRPr="00464902">
              <w:t xml:space="preserve"> This exemption is phased-out by 25 cents for every dollar of the amount of the corporation’s final AMTI exceeds $150,000.</w:t>
            </w:r>
            <w:r>
              <w:rPr>
                <w:rStyle w:val="EndnoteReference"/>
              </w:rPr>
              <w:endnoteReference w:id="17"/>
            </w:r>
            <w:r w:rsidRPr="00464902">
              <w:t xml:space="preserve"> Therefore, at $310,000, the exemption is completely lost. Note that only one $40,000 exemption is allowed per group of controlled corporations.</w:t>
            </w:r>
            <w:r>
              <w:rPr>
                <w:rStyle w:val="EndnoteReference"/>
              </w:rPr>
              <w:endnoteReference w:id="18"/>
            </w:r>
            <w:r w:rsidRPr="00464902">
              <w:t xml:space="preserve"> The exemption is allocated evenly among the group members unless an election is submitted with the tax returns of the group.</w:t>
            </w:r>
            <w:r>
              <w:rPr>
                <w:rStyle w:val="EndnoteReference"/>
              </w:rPr>
              <w:endnoteReference w:id="19"/>
            </w:r>
            <w:r w:rsidRPr="00740603">
              <w:rPr>
                <w:b/>
              </w:rPr>
              <w:t xml:space="preserve">The result of this calculation is the </w:t>
            </w:r>
            <w:r w:rsidRPr="00740603">
              <w:rPr>
                <w:b/>
                <w:i/>
              </w:rPr>
              <w:t>corporate AMTI.</w:t>
            </w:r>
          </w:p>
        </w:tc>
      </w:tr>
      <w:tr w:rsidR="006F68C5" w:rsidTr="00F51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rsidR="006F68C5" w:rsidRDefault="006F68C5" w:rsidP="006F68C5">
            <w:pPr>
              <w:pStyle w:val="TableBody"/>
            </w:pPr>
            <w:r>
              <w:t>Step 7</w:t>
            </w:r>
          </w:p>
        </w:tc>
        <w:tc>
          <w:tcPr>
            <w:tcW w:w="7938" w:type="dxa"/>
            <w:gridSpan w:val="2"/>
          </w:tcPr>
          <w:p w:rsidR="006F68C5" w:rsidRDefault="006F68C5" w:rsidP="006F68C5">
            <w:pPr>
              <w:pStyle w:val="TableBody"/>
              <w:cnfStyle w:val="000000100000" w:firstRow="0" w:lastRow="0" w:firstColumn="0" w:lastColumn="0" w:oddVBand="0" w:evenVBand="0" w:oddHBand="1" w:evenHBand="0" w:firstRowFirstColumn="0" w:firstRowLastColumn="0" w:lastRowFirstColumn="0" w:lastRowLastColumn="0"/>
            </w:pPr>
            <w:r>
              <w:t>Calculate the corporate AMT. The AMT tax rate for corporations of 20 percent is then applied to the corporate AMTI to determine the tentative minimum tax. If the tentative minimum tax exceeds the corporation’s regular tax, the excess is added to the corporation’s regular tax.</w:t>
            </w:r>
          </w:p>
        </w:tc>
      </w:tr>
    </w:tbl>
    <w:p w:rsidR="00F51DEF" w:rsidRDefault="00F51DEF" w:rsidP="006F68C5">
      <w:pPr>
        <w:pStyle w:val="Heading1"/>
      </w:pPr>
      <w:r>
        <w:br w:type="page"/>
      </w:r>
    </w:p>
    <w:p w:rsidR="00F51DEF" w:rsidRDefault="00F51DEF" w:rsidP="00F51DEF">
      <w:pPr>
        <w:pStyle w:val="Title2"/>
      </w:pPr>
      <w:r>
        <w:lastRenderedPageBreak/>
        <w:t>Alternative Minimum Tax</w:t>
      </w:r>
    </w:p>
    <w:p w:rsidR="006F68C5" w:rsidRDefault="006F68C5" w:rsidP="006F68C5">
      <w:pPr>
        <w:pStyle w:val="Heading1"/>
      </w:pPr>
      <w:r>
        <w:t>What are AMT Adjustments?</w:t>
      </w:r>
    </w:p>
    <w:p w:rsidR="006F68C5" w:rsidRDefault="006F68C5" w:rsidP="006F68C5">
      <w:pPr>
        <w:pStyle w:val="Body"/>
      </w:pPr>
      <w:r>
        <w:t xml:space="preserve">A common misconception is that adjustments and preferences for AMT purposes are the same thing. In fact, adjustments and preferences are very different. AMT </w:t>
      </w:r>
      <w:r w:rsidRPr="0088794C">
        <w:rPr>
          <w:i/>
        </w:rPr>
        <w:t>Adjustments</w:t>
      </w:r>
      <w:r>
        <w:t xml:space="preserve"> are defined under Code section 56 and are usually amounts that are determined separately for regular tax and AMT purposes and may be positive or negative. </w:t>
      </w:r>
    </w:p>
    <w:p w:rsidR="006F68C5" w:rsidRDefault="006F68C5" w:rsidP="006F68C5">
      <w:pPr>
        <w:pStyle w:val="Body"/>
      </w:pPr>
      <w:r>
        <w:t xml:space="preserve">AMT </w:t>
      </w:r>
      <w:r w:rsidRPr="0088794C">
        <w:rPr>
          <w:i/>
        </w:rPr>
        <w:t>preferences</w:t>
      </w:r>
      <w:r>
        <w:t xml:space="preserve"> (see below) are defined under Code section 57 and result in add-backs to taxable income because of some “preferential” treatment received for regular tax purposes. Preferences may only result in an increase to taxable income—negative preferences are not permitted.</w:t>
      </w:r>
    </w:p>
    <w:p w:rsidR="006F68C5" w:rsidRDefault="006F68C5" w:rsidP="00F51DEF">
      <w:pPr>
        <w:pStyle w:val="NUHeading2"/>
      </w:pPr>
      <w:r>
        <w:t>Adjustments for Individuals and Corporations</w:t>
      </w:r>
    </w:p>
    <w:p w:rsidR="006F68C5" w:rsidRDefault="006F68C5" w:rsidP="006F68C5">
      <w:pPr>
        <w:pStyle w:val="Body"/>
      </w:pPr>
      <w:r>
        <w:t xml:space="preserve">Three common types of adjustments to taxable income apply to both individuals and corporations. These include adjustments related to depreciation, NOLs (see Chapter 5). </w:t>
      </w:r>
      <w:proofErr w:type="gramStart"/>
      <w:r>
        <w:t>And gains and/or losses from sales of property.</w:t>
      </w:r>
      <w:proofErr w:type="gramEnd"/>
    </w:p>
    <w:p w:rsidR="006F68C5" w:rsidRPr="0088794C" w:rsidRDefault="006F68C5" w:rsidP="00F51DEF">
      <w:pPr>
        <w:pStyle w:val="NUHeading3"/>
      </w:pPr>
      <w:r w:rsidRPr="0088794C">
        <w:t>Depreciation Adjustments</w:t>
      </w:r>
    </w:p>
    <w:p w:rsidR="006F68C5" w:rsidRDefault="006F68C5" w:rsidP="006F68C5">
      <w:pPr>
        <w:pStyle w:val="Body"/>
      </w:pPr>
      <w:r>
        <w:t>For property placed in service after 1986, depreciation deductions are adjusted to conform to special rules for the AMT.</w:t>
      </w:r>
      <w:r>
        <w:rPr>
          <w:rStyle w:val="EndnoteReference"/>
        </w:rPr>
        <w:endnoteReference w:id="20"/>
      </w:r>
      <w:r>
        <w:t xml:space="preserve"> Normally taxpayers follow the MACRS rules for determining their depreciation on fixed assets, which typically results in a 200 percent declining balance method for determining the annual deduction. The applicable recovery period is determined by referring to Rev. Proc. 87-56</w:t>
      </w:r>
      <w:r>
        <w:rPr>
          <w:rStyle w:val="EndnoteReference"/>
        </w:rPr>
        <w:endnoteReference w:id="21"/>
      </w:r>
      <w:r>
        <w:t xml:space="preserve"> and referring to the asset class of the property to be depreciated.</w:t>
      </w:r>
    </w:p>
    <w:p w:rsidR="00F51DEF" w:rsidRDefault="006F68C5" w:rsidP="00F51DEF">
      <w:pPr>
        <w:pStyle w:val="Body"/>
      </w:pPr>
      <w:r>
        <w:t>For property placed in service prior to 1999, taxpayers were required to re-compute their fixed asset depreciation using the 150 percent declining balance method and, in most cases, a longer recovery period. This led to potentially large positive adjustments for determining AMTI in the earlier years an asset was in service (i.e. higher AMTI) followed by negative adjustments in later years.</w:t>
      </w:r>
    </w:p>
    <w:p w:rsidR="00F51DEF" w:rsidRDefault="006F68C5" w:rsidP="00F51DEF">
      <w:pPr>
        <w:pStyle w:val="BodyTextIndent"/>
      </w:pPr>
      <w:r>
        <w:rPr>
          <w:i/>
        </w:rPr>
        <w:t>Example:</w:t>
      </w:r>
      <w:r>
        <w:t xml:space="preserve"> ABC Corporation purchased $10,000 worth of furniture in 1998. The furniture has a seven-year life for regular tax purposes using the 200 percent declining balance method and a ten-year life for AMT using the 150 percent declining balance method. ABC’s depreciation calculations are:</w:t>
      </w:r>
      <w:r w:rsidR="00F51DEF">
        <w:br w:type="page"/>
      </w:r>
    </w:p>
    <w:p w:rsidR="00F51DEF" w:rsidRDefault="00F51DEF" w:rsidP="00F51DEF">
      <w:pPr>
        <w:pStyle w:val="Title2"/>
      </w:pPr>
      <w:r>
        <w:lastRenderedPageBreak/>
        <w:t>Alternative Minimum Tax</w:t>
      </w:r>
    </w:p>
    <w:tbl>
      <w:tblPr>
        <w:tblStyle w:val="NewStyle2014"/>
        <w:tblW w:w="0" w:type="auto"/>
        <w:tblLook w:val="04A0" w:firstRow="1" w:lastRow="0" w:firstColumn="1" w:lastColumn="0" w:noHBand="0" w:noVBand="1"/>
      </w:tblPr>
      <w:tblGrid>
        <w:gridCol w:w="1800"/>
        <w:gridCol w:w="1980"/>
        <w:gridCol w:w="1980"/>
        <w:gridCol w:w="2376"/>
      </w:tblGrid>
      <w:tr w:rsidR="006F68C5" w:rsidRPr="00740603" w:rsidTr="00F51D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rsidR="006F68C5" w:rsidRPr="00740603" w:rsidRDefault="006F68C5" w:rsidP="006F68C5">
            <w:pPr>
              <w:pStyle w:val="TableHead1"/>
            </w:pPr>
            <w:r w:rsidRPr="00740603">
              <w:t>Year</w:t>
            </w:r>
          </w:p>
        </w:tc>
        <w:tc>
          <w:tcPr>
            <w:tcW w:w="1980" w:type="dxa"/>
          </w:tcPr>
          <w:p w:rsidR="006F68C5" w:rsidRPr="00740603" w:rsidRDefault="006F68C5" w:rsidP="006F68C5">
            <w:pPr>
              <w:pStyle w:val="TableHead1"/>
              <w:cnfStyle w:val="100000000000" w:firstRow="1" w:lastRow="0" w:firstColumn="0" w:lastColumn="0" w:oddVBand="0" w:evenVBand="0" w:oddHBand="0" w:evenHBand="0" w:firstRowFirstColumn="0" w:firstRowLastColumn="0" w:lastRowFirstColumn="0" w:lastRowLastColumn="0"/>
            </w:pPr>
            <w:r w:rsidRPr="00740603">
              <w:t>Regular Depreciation</w:t>
            </w:r>
          </w:p>
        </w:tc>
        <w:tc>
          <w:tcPr>
            <w:tcW w:w="1980" w:type="dxa"/>
          </w:tcPr>
          <w:p w:rsidR="006F68C5" w:rsidRPr="00740603" w:rsidRDefault="006F68C5" w:rsidP="006F68C5">
            <w:pPr>
              <w:pStyle w:val="TableHead1"/>
              <w:cnfStyle w:val="100000000000" w:firstRow="1" w:lastRow="0" w:firstColumn="0" w:lastColumn="0" w:oddVBand="0" w:evenVBand="0" w:oddHBand="0" w:evenHBand="0" w:firstRowFirstColumn="0" w:firstRowLastColumn="0" w:lastRowFirstColumn="0" w:lastRowLastColumn="0"/>
            </w:pPr>
            <w:r w:rsidRPr="00740603">
              <w:t>AMT Depreciation</w:t>
            </w:r>
          </w:p>
        </w:tc>
        <w:tc>
          <w:tcPr>
            <w:tcW w:w="2376" w:type="dxa"/>
          </w:tcPr>
          <w:p w:rsidR="006F68C5" w:rsidRPr="00740603" w:rsidRDefault="006F68C5" w:rsidP="006F68C5">
            <w:pPr>
              <w:pStyle w:val="TableHead1"/>
              <w:cnfStyle w:val="100000000000" w:firstRow="1" w:lastRow="0" w:firstColumn="0" w:lastColumn="0" w:oddVBand="0" w:evenVBand="0" w:oddHBand="0" w:evenHBand="0" w:firstRowFirstColumn="0" w:firstRowLastColumn="0" w:lastRowFirstColumn="0" w:lastRowLastColumn="0"/>
            </w:pPr>
            <w:r w:rsidRPr="00740603">
              <w:t>AMT Adjustment</w:t>
            </w:r>
          </w:p>
        </w:tc>
      </w:tr>
      <w:tr w:rsidR="006F68C5" w:rsidRPr="00740603" w:rsidTr="00F51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rsidR="006F68C5" w:rsidRPr="00740603" w:rsidRDefault="006F68C5" w:rsidP="006F68C5">
            <w:pPr>
              <w:pStyle w:val="TableBody"/>
              <w:jc w:val="center"/>
            </w:pPr>
            <w:r w:rsidRPr="00740603">
              <w:t>1998</w:t>
            </w:r>
          </w:p>
        </w:tc>
        <w:tc>
          <w:tcPr>
            <w:tcW w:w="1980" w:type="dxa"/>
          </w:tcPr>
          <w:p w:rsidR="006F68C5" w:rsidRPr="00740603" w:rsidRDefault="006F68C5" w:rsidP="006F68C5">
            <w:pPr>
              <w:pStyle w:val="TableBody"/>
              <w:jc w:val="center"/>
              <w:cnfStyle w:val="000000100000" w:firstRow="0" w:lastRow="0" w:firstColumn="0" w:lastColumn="0" w:oddVBand="0" w:evenVBand="0" w:oddHBand="1" w:evenHBand="0" w:firstRowFirstColumn="0" w:firstRowLastColumn="0" w:lastRowFirstColumn="0" w:lastRowLastColumn="0"/>
            </w:pPr>
            <w:r w:rsidRPr="00740603">
              <w:t>$ 1,429</w:t>
            </w:r>
          </w:p>
        </w:tc>
        <w:tc>
          <w:tcPr>
            <w:tcW w:w="1980" w:type="dxa"/>
          </w:tcPr>
          <w:p w:rsidR="006F68C5" w:rsidRPr="00740603" w:rsidRDefault="006F68C5" w:rsidP="006F68C5">
            <w:pPr>
              <w:pStyle w:val="TableBody"/>
              <w:jc w:val="center"/>
              <w:cnfStyle w:val="000000100000" w:firstRow="0" w:lastRow="0" w:firstColumn="0" w:lastColumn="0" w:oddVBand="0" w:evenVBand="0" w:oddHBand="1" w:evenHBand="0" w:firstRowFirstColumn="0" w:firstRowLastColumn="0" w:lastRowFirstColumn="0" w:lastRowLastColumn="0"/>
            </w:pPr>
            <w:r w:rsidRPr="00740603">
              <w:t>$ 750</w:t>
            </w:r>
          </w:p>
        </w:tc>
        <w:tc>
          <w:tcPr>
            <w:tcW w:w="2376" w:type="dxa"/>
          </w:tcPr>
          <w:p w:rsidR="006F68C5" w:rsidRPr="00740603" w:rsidRDefault="006F68C5" w:rsidP="006F68C5">
            <w:pPr>
              <w:pStyle w:val="TableBody"/>
              <w:jc w:val="center"/>
              <w:cnfStyle w:val="000000100000" w:firstRow="0" w:lastRow="0" w:firstColumn="0" w:lastColumn="0" w:oddVBand="0" w:evenVBand="0" w:oddHBand="1" w:evenHBand="0" w:firstRowFirstColumn="0" w:firstRowLastColumn="0" w:lastRowFirstColumn="0" w:lastRowLastColumn="0"/>
            </w:pPr>
            <w:r w:rsidRPr="00740603">
              <w:fldChar w:fldCharType="begin"/>
            </w:r>
            <w:r w:rsidRPr="00740603">
              <w:instrText xml:space="preserve"> =b2-c2 \# "$#,##0;($#,##0)" </w:instrText>
            </w:r>
            <w:r w:rsidRPr="00740603">
              <w:fldChar w:fldCharType="separate"/>
            </w:r>
            <w:r w:rsidRPr="00740603">
              <w:t>$ 679</w:t>
            </w:r>
            <w:r w:rsidRPr="00740603">
              <w:fldChar w:fldCharType="end"/>
            </w:r>
          </w:p>
        </w:tc>
      </w:tr>
      <w:tr w:rsidR="006F68C5" w:rsidRPr="00740603" w:rsidTr="00F51D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rsidR="006F68C5" w:rsidRPr="00740603" w:rsidRDefault="006F68C5" w:rsidP="006F68C5">
            <w:pPr>
              <w:pStyle w:val="TableBody"/>
              <w:jc w:val="center"/>
            </w:pPr>
            <w:r w:rsidRPr="00740603">
              <w:t>1999</w:t>
            </w:r>
          </w:p>
        </w:tc>
        <w:tc>
          <w:tcPr>
            <w:tcW w:w="1980" w:type="dxa"/>
          </w:tcPr>
          <w:p w:rsidR="006F68C5" w:rsidRPr="00740603" w:rsidRDefault="006F68C5" w:rsidP="006F68C5">
            <w:pPr>
              <w:pStyle w:val="TableBody"/>
              <w:jc w:val="center"/>
              <w:cnfStyle w:val="000000010000" w:firstRow="0" w:lastRow="0" w:firstColumn="0" w:lastColumn="0" w:oddVBand="0" w:evenVBand="0" w:oddHBand="0" w:evenHBand="1" w:firstRowFirstColumn="0" w:firstRowLastColumn="0" w:lastRowFirstColumn="0" w:lastRowLastColumn="0"/>
            </w:pPr>
            <w:r w:rsidRPr="00740603">
              <w:t>$ 2,449</w:t>
            </w:r>
          </w:p>
        </w:tc>
        <w:tc>
          <w:tcPr>
            <w:tcW w:w="1980" w:type="dxa"/>
          </w:tcPr>
          <w:p w:rsidR="006F68C5" w:rsidRPr="00740603" w:rsidRDefault="006F68C5" w:rsidP="006F68C5">
            <w:pPr>
              <w:pStyle w:val="TableBody"/>
              <w:jc w:val="center"/>
              <w:cnfStyle w:val="000000010000" w:firstRow="0" w:lastRow="0" w:firstColumn="0" w:lastColumn="0" w:oddVBand="0" w:evenVBand="0" w:oddHBand="0" w:evenHBand="1" w:firstRowFirstColumn="0" w:firstRowLastColumn="0" w:lastRowFirstColumn="0" w:lastRowLastColumn="0"/>
            </w:pPr>
            <w:r w:rsidRPr="00740603">
              <w:t>$ 1,388</w:t>
            </w:r>
          </w:p>
        </w:tc>
        <w:tc>
          <w:tcPr>
            <w:tcW w:w="2376" w:type="dxa"/>
          </w:tcPr>
          <w:p w:rsidR="006F68C5" w:rsidRPr="00740603" w:rsidRDefault="006F68C5" w:rsidP="006F68C5">
            <w:pPr>
              <w:pStyle w:val="TableBody"/>
              <w:jc w:val="center"/>
              <w:cnfStyle w:val="000000010000" w:firstRow="0" w:lastRow="0" w:firstColumn="0" w:lastColumn="0" w:oddVBand="0" w:evenVBand="0" w:oddHBand="0" w:evenHBand="1" w:firstRowFirstColumn="0" w:firstRowLastColumn="0" w:lastRowFirstColumn="0" w:lastRowLastColumn="0"/>
            </w:pPr>
            <w:r w:rsidRPr="00740603">
              <w:fldChar w:fldCharType="begin"/>
            </w:r>
            <w:r w:rsidRPr="00740603">
              <w:instrText xml:space="preserve"> =b3-c3 \# "$#,##0;($#,##0)" </w:instrText>
            </w:r>
            <w:r w:rsidRPr="00740603">
              <w:fldChar w:fldCharType="separate"/>
            </w:r>
            <w:r w:rsidRPr="00740603">
              <w:t>$1,061</w:t>
            </w:r>
            <w:r w:rsidRPr="00740603">
              <w:fldChar w:fldCharType="end"/>
            </w:r>
          </w:p>
        </w:tc>
      </w:tr>
      <w:tr w:rsidR="006F68C5" w:rsidRPr="00740603" w:rsidTr="00F51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rsidR="006F68C5" w:rsidRPr="00740603" w:rsidRDefault="006F68C5" w:rsidP="006F68C5">
            <w:pPr>
              <w:pStyle w:val="TableBody"/>
              <w:jc w:val="center"/>
            </w:pPr>
            <w:r w:rsidRPr="00740603">
              <w:t>2000</w:t>
            </w:r>
          </w:p>
        </w:tc>
        <w:tc>
          <w:tcPr>
            <w:tcW w:w="1980" w:type="dxa"/>
          </w:tcPr>
          <w:p w:rsidR="006F68C5" w:rsidRPr="00740603" w:rsidRDefault="006F68C5" w:rsidP="006F68C5">
            <w:pPr>
              <w:pStyle w:val="TableBody"/>
              <w:jc w:val="center"/>
              <w:cnfStyle w:val="000000100000" w:firstRow="0" w:lastRow="0" w:firstColumn="0" w:lastColumn="0" w:oddVBand="0" w:evenVBand="0" w:oddHBand="1" w:evenHBand="0" w:firstRowFirstColumn="0" w:firstRowLastColumn="0" w:lastRowFirstColumn="0" w:lastRowLastColumn="0"/>
            </w:pPr>
            <w:r w:rsidRPr="00740603">
              <w:t>$ 1,749</w:t>
            </w:r>
          </w:p>
        </w:tc>
        <w:tc>
          <w:tcPr>
            <w:tcW w:w="1980" w:type="dxa"/>
          </w:tcPr>
          <w:p w:rsidR="006F68C5" w:rsidRPr="00740603" w:rsidRDefault="006F68C5" w:rsidP="006F68C5">
            <w:pPr>
              <w:pStyle w:val="TableBody"/>
              <w:jc w:val="center"/>
              <w:cnfStyle w:val="000000100000" w:firstRow="0" w:lastRow="0" w:firstColumn="0" w:lastColumn="0" w:oddVBand="0" w:evenVBand="0" w:oddHBand="1" w:evenHBand="0" w:firstRowFirstColumn="0" w:firstRowLastColumn="0" w:lastRowFirstColumn="0" w:lastRowLastColumn="0"/>
            </w:pPr>
            <w:r w:rsidRPr="00740603">
              <w:t>$ 1,179</w:t>
            </w:r>
          </w:p>
        </w:tc>
        <w:tc>
          <w:tcPr>
            <w:tcW w:w="2376" w:type="dxa"/>
          </w:tcPr>
          <w:p w:rsidR="006F68C5" w:rsidRPr="00740603" w:rsidRDefault="006F68C5" w:rsidP="006F68C5">
            <w:pPr>
              <w:pStyle w:val="TableBody"/>
              <w:jc w:val="center"/>
              <w:cnfStyle w:val="000000100000" w:firstRow="0" w:lastRow="0" w:firstColumn="0" w:lastColumn="0" w:oddVBand="0" w:evenVBand="0" w:oddHBand="1" w:evenHBand="0" w:firstRowFirstColumn="0" w:firstRowLastColumn="0" w:lastRowFirstColumn="0" w:lastRowLastColumn="0"/>
            </w:pPr>
            <w:r w:rsidRPr="00740603">
              <w:fldChar w:fldCharType="begin"/>
            </w:r>
            <w:r w:rsidRPr="00740603">
              <w:instrText xml:space="preserve"> =b4-c4 \# "$#,##0;($#,##0)" </w:instrText>
            </w:r>
            <w:r w:rsidRPr="00740603">
              <w:fldChar w:fldCharType="separate"/>
            </w:r>
            <w:r w:rsidRPr="00740603">
              <w:t>$ 570</w:t>
            </w:r>
            <w:r w:rsidRPr="00740603">
              <w:fldChar w:fldCharType="end"/>
            </w:r>
          </w:p>
        </w:tc>
      </w:tr>
      <w:tr w:rsidR="006F68C5" w:rsidRPr="00740603" w:rsidTr="00F51D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rsidR="006F68C5" w:rsidRPr="00740603" w:rsidRDefault="006F68C5" w:rsidP="006F68C5">
            <w:pPr>
              <w:pStyle w:val="TableBody"/>
              <w:jc w:val="center"/>
            </w:pPr>
            <w:r w:rsidRPr="00740603">
              <w:t>2001</w:t>
            </w:r>
          </w:p>
        </w:tc>
        <w:tc>
          <w:tcPr>
            <w:tcW w:w="1980" w:type="dxa"/>
          </w:tcPr>
          <w:p w:rsidR="006F68C5" w:rsidRPr="00740603" w:rsidRDefault="006F68C5" w:rsidP="006F68C5">
            <w:pPr>
              <w:pStyle w:val="TableBody"/>
              <w:jc w:val="center"/>
              <w:cnfStyle w:val="000000010000" w:firstRow="0" w:lastRow="0" w:firstColumn="0" w:lastColumn="0" w:oddVBand="0" w:evenVBand="0" w:oddHBand="0" w:evenHBand="1" w:firstRowFirstColumn="0" w:firstRowLastColumn="0" w:lastRowFirstColumn="0" w:lastRowLastColumn="0"/>
            </w:pPr>
            <w:r w:rsidRPr="00740603">
              <w:t>$ 1,249</w:t>
            </w:r>
          </w:p>
        </w:tc>
        <w:tc>
          <w:tcPr>
            <w:tcW w:w="1980" w:type="dxa"/>
          </w:tcPr>
          <w:p w:rsidR="006F68C5" w:rsidRPr="00740603" w:rsidRDefault="006F68C5" w:rsidP="006F68C5">
            <w:pPr>
              <w:pStyle w:val="TableBody"/>
              <w:jc w:val="center"/>
              <w:cnfStyle w:val="000000010000" w:firstRow="0" w:lastRow="0" w:firstColumn="0" w:lastColumn="0" w:oddVBand="0" w:evenVBand="0" w:oddHBand="0" w:evenHBand="1" w:firstRowFirstColumn="0" w:firstRowLastColumn="0" w:lastRowFirstColumn="0" w:lastRowLastColumn="0"/>
            </w:pPr>
            <w:r w:rsidRPr="00740603">
              <w:t>$ 1,002</w:t>
            </w:r>
          </w:p>
        </w:tc>
        <w:tc>
          <w:tcPr>
            <w:tcW w:w="2376" w:type="dxa"/>
          </w:tcPr>
          <w:p w:rsidR="006F68C5" w:rsidRPr="00740603" w:rsidRDefault="006F68C5" w:rsidP="006F68C5">
            <w:pPr>
              <w:pStyle w:val="TableBody"/>
              <w:jc w:val="center"/>
              <w:cnfStyle w:val="000000010000" w:firstRow="0" w:lastRow="0" w:firstColumn="0" w:lastColumn="0" w:oddVBand="0" w:evenVBand="0" w:oddHBand="0" w:evenHBand="1" w:firstRowFirstColumn="0" w:firstRowLastColumn="0" w:lastRowFirstColumn="0" w:lastRowLastColumn="0"/>
            </w:pPr>
            <w:r w:rsidRPr="00740603">
              <w:fldChar w:fldCharType="begin"/>
            </w:r>
            <w:r w:rsidRPr="00740603">
              <w:instrText xml:space="preserve"> =b5-c5 \# "$#,##0;($#,##0)" </w:instrText>
            </w:r>
            <w:r w:rsidRPr="00740603">
              <w:fldChar w:fldCharType="separate"/>
            </w:r>
            <w:r w:rsidRPr="00740603">
              <w:t>$ 247</w:t>
            </w:r>
            <w:r w:rsidRPr="00740603">
              <w:fldChar w:fldCharType="end"/>
            </w:r>
          </w:p>
        </w:tc>
      </w:tr>
      <w:tr w:rsidR="006F68C5" w:rsidRPr="00740603" w:rsidTr="00F51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rsidR="006F68C5" w:rsidRPr="00740603" w:rsidRDefault="006F68C5" w:rsidP="006F68C5">
            <w:pPr>
              <w:pStyle w:val="TableBody"/>
              <w:jc w:val="center"/>
            </w:pPr>
            <w:r w:rsidRPr="00740603">
              <w:t>2002</w:t>
            </w:r>
          </w:p>
        </w:tc>
        <w:tc>
          <w:tcPr>
            <w:tcW w:w="1980" w:type="dxa"/>
          </w:tcPr>
          <w:p w:rsidR="006F68C5" w:rsidRPr="00740603" w:rsidRDefault="006F68C5" w:rsidP="006F68C5">
            <w:pPr>
              <w:pStyle w:val="TableBody"/>
              <w:jc w:val="center"/>
              <w:cnfStyle w:val="000000100000" w:firstRow="0" w:lastRow="0" w:firstColumn="0" w:lastColumn="0" w:oddVBand="0" w:evenVBand="0" w:oddHBand="1" w:evenHBand="0" w:firstRowFirstColumn="0" w:firstRowLastColumn="0" w:lastRowFirstColumn="0" w:lastRowLastColumn="0"/>
            </w:pPr>
            <w:r w:rsidRPr="00740603">
              <w:t>$ 893</w:t>
            </w:r>
          </w:p>
        </w:tc>
        <w:tc>
          <w:tcPr>
            <w:tcW w:w="1980" w:type="dxa"/>
          </w:tcPr>
          <w:p w:rsidR="006F68C5" w:rsidRPr="00740603" w:rsidRDefault="006F68C5" w:rsidP="006F68C5">
            <w:pPr>
              <w:pStyle w:val="TableBody"/>
              <w:jc w:val="center"/>
              <w:cnfStyle w:val="000000100000" w:firstRow="0" w:lastRow="0" w:firstColumn="0" w:lastColumn="0" w:oddVBand="0" w:evenVBand="0" w:oddHBand="1" w:evenHBand="0" w:firstRowFirstColumn="0" w:firstRowLastColumn="0" w:lastRowFirstColumn="0" w:lastRowLastColumn="0"/>
            </w:pPr>
            <w:r w:rsidRPr="00740603">
              <w:t>$ 874</w:t>
            </w:r>
          </w:p>
        </w:tc>
        <w:tc>
          <w:tcPr>
            <w:tcW w:w="2376" w:type="dxa"/>
          </w:tcPr>
          <w:p w:rsidR="006F68C5" w:rsidRPr="00740603" w:rsidRDefault="006F68C5" w:rsidP="006F68C5">
            <w:pPr>
              <w:pStyle w:val="TableBody"/>
              <w:jc w:val="center"/>
              <w:cnfStyle w:val="000000100000" w:firstRow="0" w:lastRow="0" w:firstColumn="0" w:lastColumn="0" w:oddVBand="0" w:evenVBand="0" w:oddHBand="1" w:evenHBand="0" w:firstRowFirstColumn="0" w:firstRowLastColumn="0" w:lastRowFirstColumn="0" w:lastRowLastColumn="0"/>
            </w:pPr>
            <w:r w:rsidRPr="00740603">
              <w:fldChar w:fldCharType="begin"/>
            </w:r>
            <w:r w:rsidRPr="00740603">
              <w:instrText xml:space="preserve"> =b6-c6 \# "$#,##0;($#,##0)" </w:instrText>
            </w:r>
            <w:r w:rsidRPr="00740603">
              <w:fldChar w:fldCharType="separate"/>
            </w:r>
            <w:r w:rsidRPr="00740603">
              <w:t>$  19</w:t>
            </w:r>
            <w:r w:rsidRPr="00740603">
              <w:fldChar w:fldCharType="end"/>
            </w:r>
          </w:p>
        </w:tc>
      </w:tr>
      <w:tr w:rsidR="006F68C5" w:rsidRPr="00740603" w:rsidTr="00F51D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rsidR="006F68C5" w:rsidRPr="00740603" w:rsidRDefault="006F68C5" w:rsidP="006F68C5">
            <w:pPr>
              <w:pStyle w:val="TableBody"/>
              <w:jc w:val="center"/>
            </w:pPr>
            <w:r w:rsidRPr="00740603">
              <w:t>2003</w:t>
            </w:r>
          </w:p>
        </w:tc>
        <w:tc>
          <w:tcPr>
            <w:tcW w:w="1980" w:type="dxa"/>
          </w:tcPr>
          <w:p w:rsidR="006F68C5" w:rsidRPr="00740603" w:rsidRDefault="006F68C5" w:rsidP="006F68C5">
            <w:pPr>
              <w:pStyle w:val="TableBody"/>
              <w:jc w:val="center"/>
              <w:cnfStyle w:val="000000010000" w:firstRow="0" w:lastRow="0" w:firstColumn="0" w:lastColumn="0" w:oddVBand="0" w:evenVBand="0" w:oddHBand="0" w:evenHBand="1" w:firstRowFirstColumn="0" w:firstRowLastColumn="0" w:lastRowFirstColumn="0" w:lastRowLastColumn="0"/>
            </w:pPr>
            <w:r w:rsidRPr="00740603">
              <w:t>$ 892</w:t>
            </w:r>
          </w:p>
        </w:tc>
        <w:tc>
          <w:tcPr>
            <w:tcW w:w="1980" w:type="dxa"/>
          </w:tcPr>
          <w:p w:rsidR="006F68C5" w:rsidRPr="00740603" w:rsidRDefault="006F68C5" w:rsidP="006F68C5">
            <w:pPr>
              <w:pStyle w:val="TableBody"/>
              <w:jc w:val="center"/>
              <w:cnfStyle w:val="000000010000" w:firstRow="0" w:lastRow="0" w:firstColumn="0" w:lastColumn="0" w:oddVBand="0" w:evenVBand="0" w:oddHBand="0" w:evenHBand="1" w:firstRowFirstColumn="0" w:firstRowLastColumn="0" w:lastRowFirstColumn="0" w:lastRowLastColumn="0"/>
            </w:pPr>
            <w:r w:rsidRPr="00740603">
              <w:t>$ 874</w:t>
            </w:r>
          </w:p>
        </w:tc>
        <w:tc>
          <w:tcPr>
            <w:tcW w:w="2376" w:type="dxa"/>
          </w:tcPr>
          <w:p w:rsidR="006F68C5" w:rsidRPr="00740603" w:rsidRDefault="006F68C5" w:rsidP="006F68C5">
            <w:pPr>
              <w:pStyle w:val="TableBody"/>
              <w:jc w:val="center"/>
              <w:cnfStyle w:val="000000010000" w:firstRow="0" w:lastRow="0" w:firstColumn="0" w:lastColumn="0" w:oddVBand="0" w:evenVBand="0" w:oddHBand="0" w:evenHBand="1" w:firstRowFirstColumn="0" w:firstRowLastColumn="0" w:lastRowFirstColumn="0" w:lastRowLastColumn="0"/>
            </w:pPr>
            <w:r w:rsidRPr="00740603">
              <w:fldChar w:fldCharType="begin"/>
            </w:r>
            <w:r w:rsidRPr="00740603">
              <w:instrText xml:space="preserve"> =b7-c7 \# "$#,##0;($#,##0)" </w:instrText>
            </w:r>
            <w:r w:rsidRPr="00740603">
              <w:fldChar w:fldCharType="separate"/>
            </w:r>
            <w:r w:rsidRPr="00740603">
              <w:t>$  18</w:t>
            </w:r>
            <w:r w:rsidRPr="00740603">
              <w:fldChar w:fldCharType="end"/>
            </w:r>
          </w:p>
        </w:tc>
      </w:tr>
      <w:tr w:rsidR="006F68C5" w:rsidRPr="00740603" w:rsidTr="00F51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rsidR="006F68C5" w:rsidRPr="00740603" w:rsidRDefault="006F68C5" w:rsidP="006F68C5">
            <w:pPr>
              <w:pStyle w:val="TableBody"/>
              <w:jc w:val="center"/>
            </w:pPr>
            <w:r w:rsidRPr="00740603">
              <w:t>2004</w:t>
            </w:r>
          </w:p>
        </w:tc>
        <w:tc>
          <w:tcPr>
            <w:tcW w:w="1980" w:type="dxa"/>
          </w:tcPr>
          <w:p w:rsidR="006F68C5" w:rsidRPr="00740603" w:rsidRDefault="006F68C5" w:rsidP="006F68C5">
            <w:pPr>
              <w:pStyle w:val="TableBody"/>
              <w:jc w:val="center"/>
              <w:cnfStyle w:val="000000100000" w:firstRow="0" w:lastRow="0" w:firstColumn="0" w:lastColumn="0" w:oddVBand="0" w:evenVBand="0" w:oddHBand="1" w:evenHBand="0" w:firstRowFirstColumn="0" w:firstRowLastColumn="0" w:lastRowFirstColumn="0" w:lastRowLastColumn="0"/>
            </w:pPr>
            <w:r w:rsidRPr="00740603">
              <w:t>$ 893</w:t>
            </w:r>
          </w:p>
        </w:tc>
        <w:tc>
          <w:tcPr>
            <w:tcW w:w="1980" w:type="dxa"/>
          </w:tcPr>
          <w:p w:rsidR="006F68C5" w:rsidRPr="00740603" w:rsidRDefault="006F68C5" w:rsidP="006F68C5">
            <w:pPr>
              <w:pStyle w:val="TableBody"/>
              <w:jc w:val="center"/>
              <w:cnfStyle w:val="000000100000" w:firstRow="0" w:lastRow="0" w:firstColumn="0" w:lastColumn="0" w:oddVBand="0" w:evenVBand="0" w:oddHBand="1" w:evenHBand="0" w:firstRowFirstColumn="0" w:firstRowLastColumn="0" w:lastRowFirstColumn="0" w:lastRowLastColumn="0"/>
            </w:pPr>
            <w:r w:rsidRPr="00740603">
              <w:t>$ 874</w:t>
            </w:r>
          </w:p>
        </w:tc>
        <w:tc>
          <w:tcPr>
            <w:tcW w:w="2376" w:type="dxa"/>
          </w:tcPr>
          <w:p w:rsidR="006F68C5" w:rsidRPr="00740603" w:rsidRDefault="006F68C5" w:rsidP="006F68C5">
            <w:pPr>
              <w:pStyle w:val="TableBody"/>
              <w:jc w:val="center"/>
              <w:cnfStyle w:val="000000100000" w:firstRow="0" w:lastRow="0" w:firstColumn="0" w:lastColumn="0" w:oddVBand="0" w:evenVBand="0" w:oddHBand="1" w:evenHBand="0" w:firstRowFirstColumn="0" w:firstRowLastColumn="0" w:lastRowFirstColumn="0" w:lastRowLastColumn="0"/>
            </w:pPr>
            <w:r w:rsidRPr="00740603">
              <w:fldChar w:fldCharType="begin"/>
            </w:r>
            <w:r w:rsidRPr="00740603">
              <w:instrText xml:space="preserve"> =b8-c8 \# "$#,##0;($#,##0)" </w:instrText>
            </w:r>
            <w:r w:rsidRPr="00740603">
              <w:fldChar w:fldCharType="separate"/>
            </w:r>
            <w:r w:rsidRPr="00740603">
              <w:t>$  19</w:t>
            </w:r>
            <w:r w:rsidRPr="00740603">
              <w:fldChar w:fldCharType="end"/>
            </w:r>
          </w:p>
        </w:tc>
      </w:tr>
      <w:tr w:rsidR="006F68C5" w:rsidRPr="00740603" w:rsidTr="00F51D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rsidR="006F68C5" w:rsidRPr="00740603" w:rsidRDefault="006F68C5" w:rsidP="006F68C5">
            <w:pPr>
              <w:pStyle w:val="TableBody"/>
              <w:jc w:val="center"/>
            </w:pPr>
            <w:r w:rsidRPr="00740603">
              <w:t>2005</w:t>
            </w:r>
          </w:p>
        </w:tc>
        <w:tc>
          <w:tcPr>
            <w:tcW w:w="1980" w:type="dxa"/>
          </w:tcPr>
          <w:p w:rsidR="006F68C5" w:rsidRPr="00740603" w:rsidRDefault="006F68C5" w:rsidP="006F68C5">
            <w:pPr>
              <w:pStyle w:val="TableBody"/>
              <w:jc w:val="center"/>
              <w:cnfStyle w:val="000000010000" w:firstRow="0" w:lastRow="0" w:firstColumn="0" w:lastColumn="0" w:oddVBand="0" w:evenVBand="0" w:oddHBand="0" w:evenHBand="1" w:firstRowFirstColumn="0" w:firstRowLastColumn="0" w:lastRowFirstColumn="0" w:lastRowLastColumn="0"/>
            </w:pPr>
            <w:r w:rsidRPr="00740603">
              <w:t>$ 446</w:t>
            </w:r>
          </w:p>
        </w:tc>
        <w:tc>
          <w:tcPr>
            <w:tcW w:w="1980" w:type="dxa"/>
          </w:tcPr>
          <w:p w:rsidR="006F68C5" w:rsidRPr="00740603" w:rsidRDefault="006F68C5" w:rsidP="006F68C5">
            <w:pPr>
              <w:pStyle w:val="TableBody"/>
              <w:jc w:val="center"/>
              <w:cnfStyle w:val="000000010000" w:firstRow="0" w:lastRow="0" w:firstColumn="0" w:lastColumn="0" w:oddVBand="0" w:evenVBand="0" w:oddHBand="0" w:evenHBand="1" w:firstRowFirstColumn="0" w:firstRowLastColumn="0" w:lastRowFirstColumn="0" w:lastRowLastColumn="0"/>
            </w:pPr>
            <w:r w:rsidRPr="00740603">
              <w:t>$ 874</w:t>
            </w:r>
          </w:p>
        </w:tc>
        <w:tc>
          <w:tcPr>
            <w:tcW w:w="2376" w:type="dxa"/>
          </w:tcPr>
          <w:p w:rsidR="006F68C5" w:rsidRPr="00740603" w:rsidRDefault="006F68C5" w:rsidP="006F68C5">
            <w:pPr>
              <w:pStyle w:val="TableBody"/>
              <w:jc w:val="center"/>
              <w:cnfStyle w:val="000000010000" w:firstRow="0" w:lastRow="0" w:firstColumn="0" w:lastColumn="0" w:oddVBand="0" w:evenVBand="0" w:oddHBand="0" w:evenHBand="1" w:firstRowFirstColumn="0" w:firstRowLastColumn="0" w:lastRowFirstColumn="0" w:lastRowLastColumn="0"/>
            </w:pPr>
            <w:r w:rsidRPr="00740603">
              <w:fldChar w:fldCharType="begin"/>
            </w:r>
            <w:r w:rsidRPr="00740603">
              <w:instrText xml:space="preserve"> =b9-c9 \# "$#,##0;($#,##0)" </w:instrText>
            </w:r>
            <w:r w:rsidRPr="00740603">
              <w:fldChar w:fldCharType="separate"/>
            </w:r>
            <w:r w:rsidRPr="00740603">
              <w:t>($ 428)</w:t>
            </w:r>
            <w:r w:rsidRPr="00740603">
              <w:fldChar w:fldCharType="end"/>
            </w:r>
          </w:p>
        </w:tc>
      </w:tr>
      <w:tr w:rsidR="006F68C5" w:rsidRPr="00740603" w:rsidTr="00F51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rsidR="006F68C5" w:rsidRPr="00740603" w:rsidRDefault="006F68C5" w:rsidP="006F68C5">
            <w:pPr>
              <w:pStyle w:val="TableBody"/>
              <w:jc w:val="center"/>
            </w:pPr>
            <w:r w:rsidRPr="00740603">
              <w:t>2006</w:t>
            </w:r>
          </w:p>
        </w:tc>
        <w:tc>
          <w:tcPr>
            <w:tcW w:w="1980" w:type="dxa"/>
          </w:tcPr>
          <w:p w:rsidR="006F68C5" w:rsidRPr="00740603" w:rsidRDefault="006F68C5" w:rsidP="006F68C5">
            <w:pPr>
              <w:pStyle w:val="TableBody"/>
              <w:jc w:val="center"/>
              <w:cnfStyle w:val="000000100000" w:firstRow="0" w:lastRow="0" w:firstColumn="0" w:lastColumn="0" w:oddVBand="0" w:evenVBand="0" w:oddHBand="1" w:evenHBand="0" w:firstRowFirstColumn="0" w:firstRowLastColumn="0" w:lastRowFirstColumn="0" w:lastRowLastColumn="0"/>
            </w:pPr>
            <w:r w:rsidRPr="00740603">
              <w:t>-</w:t>
            </w:r>
          </w:p>
        </w:tc>
        <w:tc>
          <w:tcPr>
            <w:tcW w:w="1980" w:type="dxa"/>
          </w:tcPr>
          <w:p w:rsidR="006F68C5" w:rsidRPr="00740603" w:rsidRDefault="006F68C5" w:rsidP="006F68C5">
            <w:pPr>
              <w:pStyle w:val="TableBody"/>
              <w:jc w:val="center"/>
              <w:cnfStyle w:val="000000100000" w:firstRow="0" w:lastRow="0" w:firstColumn="0" w:lastColumn="0" w:oddVBand="0" w:evenVBand="0" w:oddHBand="1" w:evenHBand="0" w:firstRowFirstColumn="0" w:firstRowLastColumn="0" w:lastRowFirstColumn="0" w:lastRowLastColumn="0"/>
            </w:pPr>
            <w:r w:rsidRPr="00740603">
              <w:t>$ 874</w:t>
            </w:r>
          </w:p>
        </w:tc>
        <w:tc>
          <w:tcPr>
            <w:tcW w:w="2376" w:type="dxa"/>
          </w:tcPr>
          <w:p w:rsidR="006F68C5" w:rsidRPr="00740603" w:rsidRDefault="006F68C5" w:rsidP="006F68C5">
            <w:pPr>
              <w:pStyle w:val="TableBody"/>
              <w:jc w:val="center"/>
              <w:cnfStyle w:val="000000100000" w:firstRow="0" w:lastRow="0" w:firstColumn="0" w:lastColumn="0" w:oddVBand="0" w:evenVBand="0" w:oddHBand="1" w:evenHBand="0" w:firstRowFirstColumn="0" w:firstRowLastColumn="0" w:lastRowFirstColumn="0" w:lastRowLastColumn="0"/>
            </w:pPr>
            <w:r w:rsidRPr="00740603">
              <w:fldChar w:fldCharType="begin"/>
            </w:r>
            <w:r w:rsidRPr="00740603">
              <w:instrText xml:space="preserve"> =b10-c10 \# "$#,##0;($#,##0)" </w:instrText>
            </w:r>
            <w:r w:rsidRPr="00740603">
              <w:fldChar w:fldCharType="separate"/>
            </w:r>
            <w:r w:rsidRPr="00740603">
              <w:t>($ 874)</w:t>
            </w:r>
            <w:r w:rsidRPr="00740603">
              <w:fldChar w:fldCharType="end"/>
            </w:r>
          </w:p>
        </w:tc>
      </w:tr>
      <w:tr w:rsidR="006F68C5" w:rsidRPr="00740603" w:rsidTr="00F51D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rsidR="006F68C5" w:rsidRPr="00740603" w:rsidRDefault="006F68C5" w:rsidP="006F68C5">
            <w:pPr>
              <w:pStyle w:val="TableBody"/>
              <w:jc w:val="center"/>
            </w:pPr>
            <w:r w:rsidRPr="00740603">
              <w:t>2007</w:t>
            </w:r>
          </w:p>
        </w:tc>
        <w:tc>
          <w:tcPr>
            <w:tcW w:w="1980" w:type="dxa"/>
          </w:tcPr>
          <w:p w:rsidR="006F68C5" w:rsidRPr="00740603" w:rsidRDefault="006F68C5" w:rsidP="006F68C5">
            <w:pPr>
              <w:pStyle w:val="TableBody"/>
              <w:jc w:val="center"/>
              <w:cnfStyle w:val="000000010000" w:firstRow="0" w:lastRow="0" w:firstColumn="0" w:lastColumn="0" w:oddVBand="0" w:evenVBand="0" w:oddHBand="0" w:evenHBand="1" w:firstRowFirstColumn="0" w:firstRowLastColumn="0" w:lastRowFirstColumn="0" w:lastRowLastColumn="0"/>
            </w:pPr>
            <w:r w:rsidRPr="00740603">
              <w:t>-</w:t>
            </w:r>
          </w:p>
        </w:tc>
        <w:tc>
          <w:tcPr>
            <w:tcW w:w="1980" w:type="dxa"/>
          </w:tcPr>
          <w:p w:rsidR="006F68C5" w:rsidRPr="00740603" w:rsidRDefault="006F68C5" w:rsidP="006F68C5">
            <w:pPr>
              <w:pStyle w:val="TableBody"/>
              <w:jc w:val="center"/>
              <w:cnfStyle w:val="000000010000" w:firstRow="0" w:lastRow="0" w:firstColumn="0" w:lastColumn="0" w:oddVBand="0" w:evenVBand="0" w:oddHBand="0" w:evenHBand="1" w:firstRowFirstColumn="0" w:firstRowLastColumn="0" w:lastRowFirstColumn="0" w:lastRowLastColumn="0"/>
            </w:pPr>
            <w:r w:rsidRPr="00740603">
              <w:t>$ 874</w:t>
            </w:r>
          </w:p>
        </w:tc>
        <w:tc>
          <w:tcPr>
            <w:tcW w:w="2376" w:type="dxa"/>
          </w:tcPr>
          <w:p w:rsidR="006F68C5" w:rsidRPr="00740603" w:rsidRDefault="006F68C5" w:rsidP="006F68C5">
            <w:pPr>
              <w:pStyle w:val="TableBody"/>
              <w:jc w:val="center"/>
              <w:cnfStyle w:val="000000010000" w:firstRow="0" w:lastRow="0" w:firstColumn="0" w:lastColumn="0" w:oddVBand="0" w:evenVBand="0" w:oddHBand="0" w:evenHBand="1" w:firstRowFirstColumn="0" w:firstRowLastColumn="0" w:lastRowFirstColumn="0" w:lastRowLastColumn="0"/>
            </w:pPr>
            <w:r w:rsidRPr="00740603">
              <w:fldChar w:fldCharType="begin"/>
            </w:r>
            <w:r w:rsidRPr="00740603">
              <w:instrText xml:space="preserve"> =b11-c11 \# "$#,##0;($#,##0)" </w:instrText>
            </w:r>
            <w:r w:rsidRPr="00740603">
              <w:fldChar w:fldCharType="separate"/>
            </w:r>
            <w:r w:rsidRPr="00740603">
              <w:t>($ 874)</w:t>
            </w:r>
            <w:r w:rsidRPr="00740603">
              <w:fldChar w:fldCharType="end"/>
            </w:r>
          </w:p>
        </w:tc>
      </w:tr>
      <w:tr w:rsidR="006F68C5" w:rsidRPr="00740603" w:rsidTr="00F51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rsidR="006F68C5" w:rsidRPr="00740603" w:rsidRDefault="006F68C5" w:rsidP="006F68C5">
            <w:pPr>
              <w:pStyle w:val="TableBody"/>
              <w:jc w:val="center"/>
            </w:pPr>
            <w:r w:rsidRPr="00740603">
              <w:t>2008</w:t>
            </w:r>
          </w:p>
        </w:tc>
        <w:tc>
          <w:tcPr>
            <w:tcW w:w="1980" w:type="dxa"/>
          </w:tcPr>
          <w:p w:rsidR="006F68C5" w:rsidRPr="00740603" w:rsidRDefault="006F68C5" w:rsidP="006F68C5">
            <w:pPr>
              <w:pStyle w:val="TableBody"/>
              <w:jc w:val="center"/>
              <w:cnfStyle w:val="000000100000" w:firstRow="0" w:lastRow="0" w:firstColumn="0" w:lastColumn="0" w:oddVBand="0" w:evenVBand="0" w:oddHBand="1" w:evenHBand="0" w:firstRowFirstColumn="0" w:firstRowLastColumn="0" w:lastRowFirstColumn="0" w:lastRowLastColumn="0"/>
            </w:pPr>
            <w:r w:rsidRPr="00740603">
              <w:t>-</w:t>
            </w:r>
          </w:p>
        </w:tc>
        <w:tc>
          <w:tcPr>
            <w:tcW w:w="1980" w:type="dxa"/>
          </w:tcPr>
          <w:p w:rsidR="006F68C5" w:rsidRPr="00740603" w:rsidRDefault="006F68C5" w:rsidP="006F68C5">
            <w:pPr>
              <w:pStyle w:val="TableBody"/>
              <w:jc w:val="center"/>
              <w:cnfStyle w:val="000000100000" w:firstRow="0" w:lastRow="0" w:firstColumn="0" w:lastColumn="0" w:oddVBand="0" w:evenVBand="0" w:oddHBand="1" w:evenHBand="0" w:firstRowFirstColumn="0" w:firstRowLastColumn="0" w:lastRowFirstColumn="0" w:lastRowLastColumn="0"/>
            </w:pPr>
            <w:r w:rsidRPr="00740603">
              <w:t>$ 437</w:t>
            </w:r>
          </w:p>
        </w:tc>
        <w:tc>
          <w:tcPr>
            <w:tcW w:w="2376" w:type="dxa"/>
          </w:tcPr>
          <w:p w:rsidR="006F68C5" w:rsidRPr="00740603" w:rsidRDefault="006F68C5" w:rsidP="006F68C5">
            <w:pPr>
              <w:pStyle w:val="TableBody"/>
              <w:jc w:val="center"/>
              <w:cnfStyle w:val="000000100000" w:firstRow="0" w:lastRow="0" w:firstColumn="0" w:lastColumn="0" w:oddVBand="0" w:evenVBand="0" w:oddHBand="1" w:evenHBand="0" w:firstRowFirstColumn="0" w:firstRowLastColumn="0" w:lastRowFirstColumn="0" w:lastRowLastColumn="0"/>
            </w:pPr>
            <w:r w:rsidRPr="00740603">
              <w:fldChar w:fldCharType="begin"/>
            </w:r>
            <w:r w:rsidRPr="00740603">
              <w:instrText xml:space="preserve"> =b12-c12 \# "$#,##0;($#,##0)" </w:instrText>
            </w:r>
            <w:r w:rsidRPr="00740603">
              <w:fldChar w:fldCharType="separate"/>
            </w:r>
            <w:r w:rsidRPr="00740603">
              <w:t>($ 437)</w:t>
            </w:r>
            <w:r w:rsidRPr="00740603">
              <w:fldChar w:fldCharType="end"/>
            </w:r>
          </w:p>
        </w:tc>
      </w:tr>
    </w:tbl>
    <w:p w:rsidR="006F68C5" w:rsidRDefault="006F68C5" w:rsidP="00F51DEF">
      <w:pPr>
        <w:pStyle w:val="Body"/>
      </w:pPr>
      <w:r>
        <w:t>For property placed in service after 1998, taxpayers may use the same recovery period that is used for determining their regular tax depreciation. However, the depreciation method still may be no faster than the 150 percent declining balance method.</w:t>
      </w:r>
      <w:r>
        <w:rPr>
          <w:rStyle w:val="EndnoteReference"/>
        </w:rPr>
        <w:endnoteReference w:id="22"/>
      </w:r>
    </w:p>
    <w:p w:rsidR="00F51DEF" w:rsidRDefault="006F68C5" w:rsidP="00F51DEF">
      <w:pPr>
        <w:pStyle w:val="BodyTextIndent"/>
      </w:pPr>
      <w:r>
        <w:rPr>
          <w:i/>
        </w:rPr>
        <w:t>Example:</w:t>
      </w:r>
      <w:r>
        <w:t xml:space="preserve"> ABC Corporation purchased $10,000 worth of furniture in 1999. The furniture has a seven-year life for regular tax purposes using the 200 percent declining balance method and a seven-year life for AMT using the 150 percent declining balance method. ABC’s depreciation calculations are:</w:t>
      </w:r>
    </w:p>
    <w:tbl>
      <w:tblPr>
        <w:tblStyle w:val="NewStyle2014"/>
        <w:tblW w:w="0" w:type="auto"/>
        <w:tblLook w:val="04A0" w:firstRow="1" w:lastRow="0" w:firstColumn="1" w:lastColumn="0" w:noHBand="0" w:noVBand="1"/>
      </w:tblPr>
      <w:tblGrid>
        <w:gridCol w:w="1800"/>
        <w:gridCol w:w="1980"/>
        <w:gridCol w:w="1980"/>
        <w:gridCol w:w="2376"/>
      </w:tblGrid>
      <w:tr w:rsidR="006F68C5" w:rsidRPr="00740603" w:rsidTr="00F51D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rsidR="006F68C5" w:rsidRPr="00740603" w:rsidRDefault="006F68C5" w:rsidP="006F68C5">
            <w:pPr>
              <w:pStyle w:val="TableHead1"/>
            </w:pPr>
            <w:r w:rsidRPr="00740603">
              <w:t>Year</w:t>
            </w:r>
          </w:p>
        </w:tc>
        <w:tc>
          <w:tcPr>
            <w:tcW w:w="1980" w:type="dxa"/>
          </w:tcPr>
          <w:p w:rsidR="006F68C5" w:rsidRPr="00740603" w:rsidRDefault="006F68C5" w:rsidP="006F68C5">
            <w:pPr>
              <w:pStyle w:val="TableHead1"/>
              <w:cnfStyle w:val="100000000000" w:firstRow="1" w:lastRow="0" w:firstColumn="0" w:lastColumn="0" w:oddVBand="0" w:evenVBand="0" w:oddHBand="0" w:evenHBand="0" w:firstRowFirstColumn="0" w:firstRowLastColumn="0" w:lastRowFirstColumn="0" w:lastRowLastColumn="0"/>
            </w:pPr>
            <w:r w:rsidRPr="00740603">
              <w:t>Regular Depreciation</w:t>
            </w:r>
          </w:p>
        </w:tc>
        <w:tc>
          <w:tcPr>
            <w:tcW w:w="1980" w:type="dxa"/>
          </w:tcPr>
          <w:p w:rsidR="006F68C5" w:rsidRPr="00740603" w:rsidRDefault="006F68C5" w:rsidP="006F68C5">
            <w:pPr>
              <w:pStyle w:val="TableHead1"/>
              <w:cnfStyle w:val="100000000000" w:firstRow="1" w:lastRow="0" w:firstColumn="0" w:lastColumn="0" w:oddVBand="0" w:evenVBand="0" w:oddHBand="0" w:evenHBand="0" w:firstRowFirstColumn="0" w:firstRowLastColumn="0" w:lastRowFirstColumn="0" w:lastRowLastColumn="0"/>
            </w:pPr>
            <w:r w:rsidRPr="00740603">
              <w:t>AMT Depreciation</w:t>
            </w:r>
          </w:p>
        </w:tc>
        <w:tc>
          <w:tcPr>
            <w:tcW w:w="2376" w:type="dxa"/>
          </w:tcPr>
          <w:p w:rsidR="006F68C5" w:rsidRPr="00740603" w:rsidRDefault="006F68C5" w:rsidP="006F68C5">
            <w:pPr>
              <w:pStyle w:val="TableHead1"/>
              <w:cnfStyle w:val="100000000000" w:firstRow="1" w:lastRow="0" w:firstColumn="0" w:lastColumn="0" w:oddVBand="0" w:evenVBand="0" w:oddHBand="0" w:evenHBand="0" w:firstRowFirstColumn="0" w:firstRowLastColumn="0" w:lastRowFirstColumn="0" w:lastRowLastColumn="0"/>
            </w:pPr>
            <w:r w:rsidRPr="00740603">
              <w:t>AMT Adjustment</w:t>
            </w:r>
          </w:p>
        </w:tc>
      </w:tr>
      <w:tr w:rsidR="006F68C5" w:rsidRPr="00740603" w:rsidTr="00F51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rsidR="006F68C5" w:rsidRPr="00740603" w:rsidRDefault="006F68C5" w:rsidP="006F68C5">
            <w:pPr>
              <w:pStyle w:val="TableBody"/>
              <w:jc w:val="center"/>
            </w:pPr>
            <w:r w:rsidRPr="00740603">
              <w:t>1999</w:t>
            </w:r>
          </w:p>
        </w:tc>
        <w:tc>
          <w:tcPr>
            <w:tcW w:w="1980" w:type="dxa"/>
          </w:tcPr>
          <w:p w:rsidR="006F68C5" w:rsidRPr="00740603" w:rsidRDefault="006F68C5" w:rsidP="006F68C5">
            <w:pPr>
              <w:pStyle w:val="TableBody"/>
              <w:jc w:val="center"/>
              <w:cnfStyle w:val="000000100000" w:firstRow="0" w:lastRow="0" w:firstColumn="0" w:lastColumn="0" w:oddVBand="0" w:evenVBand="0" w:oddHBand="1" w:evenHBand="0" w:firstRowFirstColumn="0" w:firstRowLastColumn="0" w:lastRowFirstColumn="0" w:lastRowLastColumn="0"/>
            </w:pPr>
            <w:r w:rsidRPr="00740603">
              <w:t>$ 1,429</w:t>
            </w:r>
          </w:p>
        </w:tc>
        <w:tc>
          <w:tcPr>
            <w:tcW w:w="1980" w:type="dxa"/>
          </w:tcPr>
          <w:p w:rsidR="006F68C5" w:rsidRPr="00740603" w:rsidRDefault="006F68C5" w:rsidP="006F68C5">
            <w:pPr>
              <w:pStyle w:val="TableBody"/>
              <w:jc w:val="center"/>
              <w:cnfStyle w:val="000000100000" w:firstRow="0" w:lastRow="0" w:firstColumn="0" w:lastColumn="0" w:oddVBand="0" w:evenVBand="0" w:oddHBand="1" w:evenHBand="0" w:firstRowFirstColumn="0" w:firstRowLastColumn="0" w:lastRowFirstColumn="0" w:lastRowLastColumn="0"/>
            </w:pPr>
            <w:r w:rsidRPr="00740603">
              <w:t>$ 1,071</w:t>
            </w:r>
          </w:p>
        </w:tc>
        <w:tc>
          <w:tcPr>
            <w:tcW w:w="2376" w:type="dxa"/>
          </w:tcPr>
          <w:p w:rsidR="006F68C5" w:rsidRPr="00740603" w:rsidRDefault="006F68C5" w:rsidP="006F68C5">
            <w:pPr>
              <w:pStyle w:val="TableBody"/>
              <w:jc w:val="center"/>
              <w:cnfStyle w:val="000000100000" w:firstRow="0" w:lastRow="0" w:firstColumn="0" w:lastColumn="0" w:oddVBand="0" w:evenVBand="0" w:oddHBand="1" w:evenHBand="0" w:firstRowFirstColumn="0" w:firstRowLastColumn="0" w:lastRowFirstColumn="0" w:lastRowLastColumn="0"/>
            </w:pPr>
            <w:r w:rsidRPr="00740603">
              <w:fldChar w:fldCharType="begin"/>
            </w:r>
            <w:r w:rsidRPr="00740603">
              <w:instrText xml:space="preserve"> =b2-c2 \# "$#,##0;($#,##0)" </w:instrText>
            </w:r>
            <w:r w:rsidRPr="00740603">
              <w:fldChar w:fldCharType="separate"/>
            </w:r>
            <w:r w:rsidRPr="00740603">
              <w:t>$ 358</w:t>
            </w:r>
            <w:r w:rsidRPr="00740603">
              <w:fldChar w:fldCharType="end"/>
            </w:r>
          </w:p>
        </w:tc>
      </w:tr>
      <w:tr w:rsidR="006F68C5" w:rsidRPr="00740603" w:rsidTr="00F51D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rsidR="006F68C5" w:rsidRPr="00740603" w:rsidRDefault="006F68C5" w:rsidP="006F68C5">
            <w:pPr>
              <w:pStyle w:val="TableBody"/>
              <w:jc w:val="center"/>
            </w:pPr>
            <w:r w:rsidRPr="00740603">
              <w:t>2000</w:t>
            </w:r>
          </w:p>
        </w:tc>
        <w:tc>
          <w:tcPr>
            <w:tcW w:w="1980" w:type="dxa"/>
          </w:tcPr>
          <w:p w:rsidR="006F68C5" w:rsidRPr="00740603" w:rsidRDefault="006F68C5" w:rsidP="006F68C5">
            <w:pPr>
              <w:pStyle w:val="TableBody"/>
              <w:jc w:val="center"/>
              <w:cnfStyle w:val="000000010000" w:firstRow="0" w:lastRow="0" w:firstColumn="0" w:lastColumn="0" w:oddVBand="0" w:evenVBand="0" w:oddHBand="0" w:evenHBand="1" w:firstRowFirstColumn="0" w:firstRowLastColumn="0" w:lastRowFirstColumn="0" w:lastRowLastColumn="0"/>
            </w:pPr>
            <w:r w:rsidRPr="00740603">
              <w:t>$ 2,449</w:t>
            </w:r>
          </w:p>
        </w:tc>
        <w:tc>
          <w:tcPr>
            <w:tcW w:w="1980" w:type="dxa"/>
          </w:tcPr>
          <w:p w:rsidR="006F68C5" w:rsidRPr="00740603" w:rsidRDefault="006F68C5" w:rsidP="006F68C5">
            <w:pPr>
              <w:pStyle w:val="TableBody"/>
              <w:jc w:val="center"/>
              <w:cnfStyle w:val="000000010000" w:firstRow="0" w:lastRow="0" w:firstColumn="0" w:lastColumn="0" w:oddVBand="0" w:evenVBand="0" w:oddHBand="0" w:evenHBand="1" w:firstRowFirstColumn="0" w:firstRowLastColumn="0" w:lastRowFirstColumn="0" w:lastRowLastColumn="0"/>
            </w:pPr>
            <w:r w:rsidRPr="00740603">
              <w:t>$ 1,913</w:t>
            </w:r>
          </w:p>
        </w:tc>
        <w:tc>
          <w:tcPr>
            <w:tcW w:w="2376" w:type="dxa"/>
          </w:tcPr>
          <w:p w:rsidR="006F68C5" w:rsidRPr="00740603" w:rsidRDefault="006F68C5" w:rsidP="006F68C5">
            <w:pPr>
              <w:pStyle w:val="TableBody"/>
              <w:jc w:val="center"/>
              <w:cnfStyle w:val="000000010000" w:firstRow="0" w:lastRow="0" w:firstColumn="0" w:lastColumn="0" w:oddVBand="0" w:evenVBand="0" w:oddHBand="0" w:evenHBand="1" w:firstRowFirstColumn="0" w:firstRowLastColumn="0" w:lastRowFirstColumn="0" w:lastRowLastColumn="0"/>
            </w:pPr>
            <w:r w:rsidRPr="00740603">
              <w:fldChar w:fldCharType="begin"/>
            </w:r>
            <w:r w:rsidRPr="00740603">
              <w:instrText xml:space="preserve"> =b3-c3 \# "$#,##0;($#,##0)" </w:instrText>
            </w:r>
            <w:r w:rsidRPr="00740603">
              <w:fldChar w:fldCharType="separate"/>
            </w:r>
            <w:r w:rsidRPr="00740603">
              <w:t>$ 536</w:t>
            </w:r>
            <w:r w:rsidRPr="00740603">
              <w:fldChar w:fldCharType="end"/>
            </w:r>
          </w:p>
        </w:tc>
      </w:tr>
      <w:tr w:rsidR="006F68C5" w:rsidRPr="00740603" w:rsidTr="00F51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rsidR="006F68C5" w:rsidRPr="00740603" w:rsidRDefault="006F68C5" w:rsidP="006F68C5">
            <w:pPr>
              <w:pStyle w:val="TableBody"/>
              <w:jc w:val="center"/>
            </w:pPr>
            <w:r w:rsidRPr="00740603">
              <w:t>2001</w:t>
            </w:r>
          </w:p>
        </w:tc>
        <w:tc>
          <w:tcPr>
            <w:tcW w:w="1980" w:type="dxa"/>
          </w:tcPr>
          <w:p w:rsidR="006F68C5" w:rsidRPr="00740603" w:rsidRDefault="006F68C5" w:rsidP="006F68C5">
            <w:pPr>
              <w:pStyle w:val="TableBody"/>
              <w:jc w:val="center"/>
              <w:cnfStyle w:val="000000100000" w:firstRow="0" w:lastRow="0" w:firstColumn="0" w:lastColumn="0" w:oddVBand="0" w:evenVBand="0" w:oddHBand="1" w:evenHBand="0" w:firstRowFirstColumn="0" w:firstRowLastColumn="0" w:lastRowFirstColumn="0" w:lastRowLastColumn="0"/>
            </w:pPr>
            <w:r w:rsidRPr="00740603">
              <w:t>$ 1,749</w:t>
            </w:r>
          </w:p>
        </w:tc>
        <w:tc>
          <w:tcPr>
            <w:tcW w:w="1980" w:type="dxa"/>
          </w:tcPr>
          <w:p w:rsidR="006F68C5" w:rsidRPr="00740603" w:rsidRDefault="006F68C5" w:rsidP="006F68C5">
            <w:pPr>
              <w:pStyle w:val="TableBody"/>
              <w:jc w:val="center"/>
              <w:cnfStyle w:val="000000100000" w:firstRow="0" w:lastRow="0" w:firstColumn="0" w:lastColumn="0" w:oddVBand="0" w:evenVBand="0" w:oddHBand="1" w:evenHBand="0" w:firstRowFirstColumn="0" w:firstRowLastColumn="0" w:lastRowFirstColumn="0" w:lastRowLastColumn="0"/>
            </w:pPr>
            <w:r w:rsidRPr="00740603">
              <w:t>$ 1,503</w:t>
            </w:r>
          </w:p>
        </w:tc>
        <w:tc>
          <w:tcPr>
            <w:tcW w:w="2376" w:type="dxa"/>
          </w:tcPr>
          <w:p w:rsidR="006F68C5" w:rsidRPr="00740603" w:rsidRDefault="006F68C5" w:rsidP="006F68C5">
            <w:pPr>
              <w:pStyle w:val="TableBody"/>
              <w:jc w:val="center"/>
              <w:cnfStyle w:val="000000100000" w:firstRow="0" w:lastRow="0" w:firstColumn="0" w:lastColumn="0" w:oddVBand="0" w:evenVBand="0" w:oddHBand="1" w:evenHBand="0" w:firstRowFirstColumn="0" w:firstRowLastColumn="0" w:lastRowFirstColumn="0" w:lastRowLastColumn="0"/>
            </w:pPr>
            <w:r w:rsidRPr="00740603">
              <w:fldChar w:fldCharType="begin"/>
            </w:r>
            <w:r w:rsidRPr="00740603">
              <w:instrText xml:space="preserve"> =b4-c4 \# "$#,##0;($#,##0)" </w:instrText>
            </w:r>
            <w:r w:rsidRPr="00740603">
              <w:fldChar w:fldCharType="separate"/>
            </w:r>
            <w:r w:rsidRPr="00740603">
              <w:t>$ 246</w:t>
            </w:r>
            <w:r w:rsidRPr="00740603">
              <w:fldChar w:fldCharType="end"/>
            </w:r>
          </w:p>
        </w:tc>
      </w:tr>
      <w:tr w:rsidR="006F68C5" w:rsidRPr="00740603" w:rsidTr="00F51D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rsidR="006F68C5" w:rsidRPr="00740603" w:rsidRDefault="006F68C5" w:rsidP="006F68C5">
            <w:pPr>
              <w:pStyle w:val="TableBody"/>
              <w:jc w:val="center"/>
            </w:pPr>
            <w:r w:rsidRPr="00740603">
              <w:t>2002</w:t>
            </w:r>
          </w:p>
        </w:tc>
        <w:tc>
          <w:tcPr>
            <w:tcW w:w="1980" w:type="dxa"/>
          </w:tcPr>
          <w:p w:rsidR="006F68C5" w:rsidRPr="00740603" w:rsidRDefault="006F68C5" w:rsidP="006F68C5">
            <w:pPr>
              <w:pStyle w:val="TableBody"/>
              <w:jc w:val="center"/>
              <w:cnfStyle w:val="000000010000" w:firstRow="0" w:lastRow="0" w:firstColumn="0" w:lastColumn="0" w:oddVBand="0" w:evenVBand="0" w:oddHBand="0" w:evenHBand="1" w:firstRowFirstColumn="0" w:firstRowLastColumn="0" w:lastRowFirstColumn="0" w:lastRowLastColumn="0"/>
            </w:pPr>
            <w:r w:rsidRPr="00740603">
              <w:t>$ 1,249</w:t>
            </w:r>
          </w:p>
        </w:tc>
        <w:tc>
          <w:tcPr>
            <w:tcW w:w="1980" w:type="dxa"/>
          </w:tcPr>
          <w:p w:rsidR="006F68C5" w:rsidRPr="00740603" w:rsidRDefault="006F68C5" w:rsidP="006F68C5">
            <w:pPr>
              <w:pStyle w:val="TableBody"/>
              <w:jc w:val="center"/>
              <w:cnfStyle w:val="000000010000" w:firstRow="0" w:lastRow="0" w:firstColumn="0" w:lastColumn="0" w:oddVBand="0" w:evenVBand="0" w:oddHBand="0" w:evenHBand="1" w:firstRowFirstColumn="0" w:firstRowLastColumn="0" w:lastRowFirstColumn="0" w:lastRowLastColumn="0"/>
            </w:pPr>
            <w:r w:rsidRPr="00740603">
              <w:t>$ 1,225</w:t>
            </w:r>
          </w:p>
        </w:tc>
        <w:tc>
          <w:tcPr>
            <w:tcW w:w="2376" w:type="dxa"/>
          </w:tcPr>
          <w:p w:rsidR="006F68C5" w:rsidRPr="00740603" w:rsidRDefault="006F68C5" w:rsidP="006F68C5">
            <w:pPr>
              <w:pStyle w:val="TableBody"/>
              <w:jc w:val="center"/>
              <w:cnfStyle w:val="000000010000" w:firstRow="0" w:lastRow="0" w:firstColumn="0" w:lastColumn="0" w:oddVBand="0" w:evenVBand="0" w:oddHBand="0" w:evenHBand="1" w:firstRowFirstColumn="0" w:firstRowLastColumn="0" w:lastRowFirstColumn="0" w:lastRowLastColumn="0"/>
            </w:pPr>
            <w:r w:rsidRPr="00740603">
              <w:fldChar w:fldCharType="begin"/>
            </w:r>
            <w:r w:rsidRPr="00740603">
              <w:instrText xml:space="preserve"> =b5-c5 \# "$#,##0;($#,##0)" </w:instrText>
            </w:r>
            <w:r w:rsidRPr="00740603">
              <w:fldChar w:fldCharType="separate"/>
            </w:r>
            <w:r w:rsidRPr="00740603">
              <w:t>$  24</w:t>
            </w:r>
            <w:r w:rsidRPr="00740603">
              <w:fldChar w:fldCharType="end"/>
            </w:r>
          </w:p>
        </w:tc>
      </w:tr>
      <w:tr w:rsidR="006F68C5" w:rsidRPr="00740603" w:rsidTr="00F51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rsidR="006F68C5" w:rsidRPr="00740603" w:rsidRDefault="006F68C5" w:rsidP="006F68C5">
            <w:pPr>
              <w:pStyle w:val="TableBody"/>
              <w:jc w:val="center"/>
            </w:pPr>
            <w:r w:rsidRPr="00740603">
              <w:t>2003</w:t>
            </w:r>
          </w:p>
        </w:tc>
        <w:tc>
          <w:tcPr>
            <w:tcW w:w="1980" w:type="dxa"/>
          </w:tcPr>
          <w:p w:rsidR="006F68C5" w:rsidRPr="00740603" w:rsidRDefault="006F68C5" w:rsidP="006F68C5">
            <w:pPr>
              <w:pStyle w:val="TableBody"/>
              <w:jc w:val="center"/>
              <w:cnfStyle w:val="000000100000" w:firstRow="0" w:lastRow="0" w:firstColumn="0" w:lastColumn="0" w:oddVBand="0" w:evenVBand="0" w:oddHBand="1" w:evenHBand="0" w:firstRowFirstColumn="0" w:firstRowLastColumn="0" w:lastRowFirstColumn="0" w:lastRowLastColumn="0"/>
            </w:pPr>
            <w:r w:rsidRPr="00740603">
              <w:t>$ 893</w:t>
            </w:r>
          </w:p>
        </w:tc>
        <w:tc>
          <w:tcPr>
            <w:tcW w:w="1980" w:type="dxa"/>
          </w:tcPr>
          <w:p w:rsidR="006F68C5" w:rsidRPr="00740603" w:rsidRDefault="006F68C5" w:rsidP="006F68C5">
            <w:pPr>
              <w:pStyle w:val="TableBody"/>
              <w:jc w:val="center"/>
              <w:cnfStyle w:val="000000100000" w:firstRow="0" w:lastRow="0" w:firstColumn="0" w:lastColumn="0" w:oddVBand="0" w:evenVBand="0" w:oddHBand="1" w:evenHBand="0" w:firstRowFirstColumn="0" w:firstRowLastColumn="0" w:lastRowFirstColumn="0" w:lastRowLastColumn="0"/>
            </w:pPr>
            <w:r w:rsidRPr="00740603">
              <w:t>$ 1,225</w:t>
            </w:r>
          </w:p>
        </w:tc>
        <w:tc>
          <w:tcPr>
            <w:tcW w:w="2376" w:type="dxa"/>
          </w:tcPr>
          <w:p w:rsidR="006F68C5" w:rsidRPr="00740603" w:rsidRDefault="006F68C5" w:rsidP="006F68C5">
            <w:pPr>
              <w:pStyle w:val="TableBody"/>
              <w:jc w:val="center"/>
              <w:cnfStyle w:val="000000100000" w:firstRow="0" w:lastRow="0" w:firstColumn="0" w:lastColumn="0" w:oddVBand="0" w:evenVBand="0" w:oddHBand="1" w:evenHBand="0" w:firstRowFirstColumn="0" w:firstRowLastColumn="0" w:lastRowFirstColumn="0" w:lastRowLastColumn="0"/>
            </w:pPr>
            <w:r w:rsidRPr="00740603">
              <w:fldChar w:fldCharType="begin"/>
            </w:r>
            <w:r w:rsidRPr="00740603">
              <w:instrText xml:space="preserve"> =b6-c6 \# "$#,##0;($#,##0)" </w:instrText>
            </w:r>
            <w:r w:rsidRPr="00740603">
              <w:fldChar w:fldCharType="separate"/>
            </w:r>
            <w:r w:rsidRPr="00740603">
              <w:t>($ 332)</w:t>
            </w:r>
            <w:r w:rsidRPr="00740603">
              <w:fldChar w:fldCharType="end"/>
            </w:r>
          </w:p>
        </w:tc>
      </w:tr>
      <w:tr w:rsidR="006F68C5" w:rsidRPr="00740603" w:rsidTr="00F51D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rsidR="006F68C5" w:rsidRPr="00740603" w:rsidRDefault="006F68C5" w:rsidP="006F68C5">
            <w:pPr>
              <w:pStyle w:val="TableBody"/>
              <w:jc w:val="center"/>
            </w:pPr>
            <w:r w:rsidRPr="00740603">
              <w:t>2004</w:t>
            </w:r>
          </w:p>
        </w:tc>
        <w:tc>
          <w:tcPr>
            <w:tcW w:w="1980" w:type="dxa"/>
          </w:tcPr>
          <w:p w:rsidR="006F68C5" w:rsidRPr="00740603" w:rsidRDefault="006F68C5" w:rsidP="006F68C5">
            <w:pPr>
              <w:pStyle w:val="TableBody"/>
              <w:jc w:val="center"/>
              <w:cnfStyle w:val="000000010000" w:firstRow="0" w:lastRow="0" w:firstColumn="0" w:lastColumn="0" w:oddVBand="0" w:evenVBand="0" w:oddHBand="0" w:evenHBand="1" w:firstRowFirstColumn="0" w:firstRowLastColumn="0" w:lastRowFirstColumn="0" w:lastRowLastColumn="0"/>
            </w:pPr>
            <w:r w:rsidRPr="00740603">
              <w:t>$ 892</w:t>
            </w:r>
          </w:p>
        </w:tc>
        <w:tc>
          <w:tcPr>
            <w:tcW w:w="1980" w:type="dxa"/>
          </w:tcPr>
          <w:p w:rsidR="006F68C5" w:rsidRPr="00740603" w:rsidRDefault="006F68C5" w:rsidP="006F68C5">
            <w:pPr>
              <w:pStyle w:val="TableBody"/>
              <w:jc w:val="center"/>
              <w:cnfStyle w:val="000000010000" w:firstRow="0" w:lastRow="0" w:firstColumn="0" w:lastColumn="0" w:oddVBand="0" w:evenVBand="0" w:oddHBand="0" w:evenHBand="1" w:firstRowFirstColumn="0" w:firstRowLastColumn="0" w:lastRowFirstColumn="0" w:lastRowLastColumn="0"/>
            </w:pPr>
            <w:r w:rsidRPr="00740603">
              <w:t>$ 1,225</w:t>
            </w:r>
          </w:p>
        </w:tc>
        <w:tc>
          <w:tcPr>
            <w:tcW w:w="2376" w:type="dxa"/>
          </w:tcPr>
          <w:p w:rsidR="006F68C5" w:rsidRPr="00740603" w:rsidRDefault="006F68C5" w:rsidP="006F68C5">
            <w:pPr>
              <w:pStyle w:val="TableBody"/>
              <w:jc w:val="center"/>
              <w:cnfStyle w:val="000000010000" w:firstRow="0" w:lastRow="0" w:firstColumn="0" w:lastColumn="0" w:oddVBand="0" w:evenVBand="0" w:oddHBand="0" w:evenHBand="1" w:firstRowFirstColumn="0" w:firstRowLastColumn="0" w:lastRowFirstColumn="0" w:lastRowLastColumn="0"/>
            </w:pPr>
            <w:r w:rsidRPr="00740603">
              <w:fldChar w:fldCharType="begin"/>
            </w:r>
            <w:r w:rsidRPr="00740603">
              <w:instrText xml:space="preserve"> =b7-c7 \# "$#,##0;($#,##0)" </w:instrText>
            </w:r>
            <w:r w:rsidRPr="00740603">
              <w:fldChar w:fldCharType="separate"/>
            </w:r>
            <w:r w:rsidRPr="00740603">
              <w:t>($ 333)</w:t>
            </w:r>
            <w:r w:rsidRPr="00740603">
              <w:fldChar w:fldCharType="end"/>
            </w:r>
          </w:p>
        </w:tc>
      </w:tr>
      <w:tr w:rsidR="006F68C5" w:rsidRPr="00740603" w:rsidTr="00F51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rsidR="006F68C5" w:rsidRPr="00740603" w:rsidRDefault="006F68C5" w:rsidP="006F68C5">
            <w:pPr>
              <w:pStyle w:val="TableBody"/>
              <w:jc w:val="center"/>
            </w:pPr>
            <w:r w:rsidRPr="00740603">
              <w:t>2005</w:t>
            </w:r>
          </w:p>
        </w:tc>
        <w:tc>
          <w:tcPr>
            <w:tcW w:w="1980" w:type="dxa"/>
          </w:tcPr>
          <w:p w:rsidR="006F68C5" w:rsidRPr="00740603" w:rsidRDefault="006F68C5" w:rsidP="006F68C5">
            <w:pPr>
              <w:pStyle w:val="TableBody"/>
              <w:jc w:val="center"/>
              <w:cnfStyle w:val="000000100000" w:firstRow="0" w:lastRow="0" w:firstColumn="0" w:lastColumn="0" w:oddVBand="0" w:evenVBand="0" w:oddHBand="1" w:evenHBand="0" w:firstRowFirstColumn="0" w:firstRowLastColumn="0" w:lastRowFirstColumn="0" w:lastRowLastColumn="0"/>
            </w:pPr>
            <w:r w:rsidRPr="00740603">
              <w:t>$ 893</w:t>
            </w:r>
          </w:p>
        </w:tc>
        <w:tc>
          <w:tcPr>
            <w:tcW w:w="1980" w:type="dxa"/>
          </w:tcPr>
          <w:p w:rsidR="006F68C5" w:rsidRPr="00740603" w:rsidRDefault="006F68C5" w:rsidP="006F68C5">
            <w:pPr>
              <w:pStyle w:val="TableBody"/>
              <w:jc w:val="center"/>
              <w:cnfStyle w:val="000000100000" w:firstRow="0" w:lastRow="0" w:firstColumn="0" w:lastColumn="0" w:oddVBand="0" w:evenVBand="0" w:oddHBand="1" w:evenHBand="0" w:firstRowFirstColumn="0" w:firstRowLastColumn="0" w:lastRowFirstColumn="0" w:lastRowLastColumn="0"/>
            </w:pPr>
            <w:r w:rsidRPr="00740603">
              <w:t>$ 1,225</w:t>
            </w:r>
          </w:p>
        </w:tc>
        <w:tc>
          <w:tcPr>
            <w:tcW w:w="2376" w:type="dxa"/>
          </w:tcPr>
          <w:p w:rsidR="006F68C5" w:rsidRPr="00740603" w:rsidRDefault="006F68C5" w:rsidP="006F68C5">
            <w:pPr>
              <w:pStyle w:val="TableBody"/>
              <w:jc w:val="center"/>
              <w:cnfStyle w:val="000000100000" w:firstRow="0" w:lastRow="0" w:firstColumn="0" w:lastColumn="0" w:oddVBand="0" w:evenVBand="0" w:oddHBand="1" w:evenHBand="0" w:firstRowFirstColumn="0" w:firstRowLastColumn="0" w:lastRowFirstColumn="0" w:lastRowLastColumn="0"/>
            </w:pPr>
            <w:r w:rsidRPr="00740603">
              <w:fldChar w:fldCharType="begin"/>
            </w:r>
            <w:r w:rsidRPr="00740603">
              <w:instrText xml:space="preserve"> =b8-c8 \# "$#,##0;($#,##0)" </w:instrText>
            </w:r>
            <w:r w:rsidRPr="00740603">
              <w:fldChar w:fldCharType="separate"/>
            </w:r>
            <w:r w:rsidRPr="00740603">
              <w:t>($ 332)</w:t>
            </w:r>
            <w:r w:rsidRPr="00740603">
              <w:fldChar w:fldCharType="end"/>
            </w:r>
          </w:p>
        </w:tc>
      </w:tr>
      <w:tr w:rsidR="006F68C5" w:rsidRPr="00740603" w:rsidTr="00F51D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rsidR="006F68C5" w:rsidRPr="00740603" w:rsidRDefault="006F68C5" w:rsidP="006F68C5">
            <w:pPr>
              <w:pStyle w:val="TableBody"/>
              <w:jc w:val="center"/>
            </w:pPr>
            <w:r w:rsidRPr="00740603">
              <w:t>2006</w:t>
            </w:r>
          </w:p>
        </w:tc>
        <w:tc>
          <w:tcPr>
            <w:tcW w:w="1980" w:type="dxa"/>
          </w:tcPr>
          <w:p w:rsidR="006F68C5" w:rsidRPr="00740603" w:rsidRDefault="006F68C5" w:rsidP="006F68C5">
            <w:pPr>
              <w:pStyle w:val="TableBody"/>
              <w:jc w:val="center"/>
              <w:cnfStyle w:val="000000010000" w:firstRow="0" w:lastRow="0" w:firstColumn="0" w:lastColumn="0" w:oddVBand="0" w:evenVBand="0" w:oddHBand="0" w:evenHBand="1" w:firstRowFirstColumn="0" w:firstRowLastColumn="0" w:lastRowFirstColumn="0" w:lastRowLastColumn="0"/>
            </w:pPr>
            <w:r w:rsidRPr="00740603">
              <w:t>$ 446</w:t>
            </w:r>
          </w:p>
        </w:tc>
        <w:tc>
          <w:tcPr>
            <w:tcW w:w="1980" w:type="dxa"/>
          </w:tcPr>
          <w:p w:rsidR="006F68C5" w:rsidRPr="00740603" w:rsidRDefault="006F68C5" w:rsidP="006F68C5">
            <w:pPr>
              <w:pStyle w:val="TableBody"/>
              <w:jc w:val="center"/>
              <w:cnfStyle w:val="000000010000" w:firstRow="0" w:lastRow="0" w:firstColumn="0" w:lastColumn="0" w:oddVBand="0" w:evenVBand="0" w:oddHBand="0" w:evenHBand="1" w:firstRowFirstColumn="0" w:firstRowLastColumn="0" w:lastRowFirstColumn="0" w:lastRowLastColumn="0"/>
            </w:pPr>
            <w:r w:rsidRPr="00740603">
              <w:t>$ 613</w:t>
            </w:r>
          </w:p>
        </w:tc>
        <w:tc>
          <w:tcPr>
            <w:tcW w:w="2376" w:type="dxa"/>
          </w:tcPr>
          <w:p w:rsidR="006F68C5" w:rsidRPr="00740603" w:rsidRDefault="006F68C5" w:rsidP="006F68C5">
            <w:pPr>
              <w:pStyle w:val="TableBody"/>
              <w:jc w:val="center"/>
              <w:cnfStyle w:val="000000010000" w:firstRow="0" w:lastRow="0" w:firstColumn="0" w:lastColumn="0" w:oddVBand="0" w:evenVBand="0" w:oddHBand="0" w:evenHBand="1" w:firstRowFirstColumn="0" w:firstRowLastColumn="0" w:lastRowFirstColumn="0" w:lastRowLastColumn="0"/>
            </w:pPr>
            <w:r w:rsidRPr="00740603">
              <w:fldChar w:fldCharType="begin"/>
            </w:r>
            <w:r w:rsidRPr="00740603">
              <w:instrText xml:space="preserve"> =b9-c9 \# "$#,##0;($#,##0)" </w:instrText>
            </w:r>
            <w:r w:rsidRPr="00740603">
              <w:fldChar w:fldCharType="separate"/>
            </w:r>
            <w:r w:rsidRPr="00740603">
              <w:t>($ 167)</w:t>
            </w:r>
            <w:r w:rsidRPr="00740603">
              <w:fldChar w:fldCharType="end"/>
            </w:r>
          </w:p>
        </w:tc>
      </w:tr>
    </w:tbl>
    <w:p w:rsidR="00F51DEF" w:rsidRDefault="00F51DEF" w:rsidP="006F68C5">
      <w:pPr>
        <w:pStyle w:val="Body"/>
      </w:pPr>
      <w:r>
        <w:br w:type="page"/>
      </w:r>
    </w:p>
    <w:p w:rsidR="00F51DEF" w:rsidRDefault="00F51DEF" w:rsidP="00F51DEF">
      <w:pPr>
        <w:pStyle w:val="Title2"/>
      </w:pPr>
      <w:r>
        <w:lastRenderedPageBreak/>
        <w:t>Alternative Minimum Tax</w:t>
      </w:r>
    </w:p>
    <w:p w:rsidR="006F68C5" w:rsidRDefault="006F68C5" w:rsidP="006F68C5">
      <w:pPr>
        <w:pStyle w:val="Body"/>
      </w:pPr>
      <w:r>
        <w:t xml:space="preserve">In 2002 bonus depreciation became available for certain types of property placed into service on or after September 11, 2001. Originally, 30 percent of the cost of qualifying property could be deducted in the year of purchase. This was later increased to 50 percent for qualifying property purchases on or after May 6, 2003. These provisions were effective through the end of 2004. </w:t>
      </w:r>
    </w:p>
    <w:p w:rsidR="006F68C5" w:rsidRDefault="006F68C5" w:rsidP="006F68C5">
      <w:pPr>
        <w:pStyle w:val="Body"/>
      </w:pPr>
      <w:r>
        <w:t xml:space="preserve"> In 2008 50 percent a bonus depreciation allowance for qualifying property became available once again. This was increased to 100 percent for property placed into service on or after September 9, 2010, through the end of 2011. Bonus depreciation of 50 percent continued to be available for the 2012 and 2013 tax years. Currently bonus depreciation is no longer available beginning in 2014. </w:t>
      </w:r>
    </w:p>
    <w:p w:rsidR="006F68C5" w:rsidRDefault="006F68C5" w:rsidP="006F68C5">
      <w:pPr>
        <w:pStyle w:val="Body"/>
      </w:pPr>
      <w:r>
        <w:t>Taxpayers may elect to take the bonus depreciation deduction, but it is not required. Bonus depreciation is allowed for both regular tax and AMT purposes.</w:t>
      </w:r>
      <w:r>
        <w:rPr>
          <w:rStyle w:val="EndnoteReference"/>
        </w:rPr>
        <w:endnoteReference w:id="23"/>
      </w:r>
      <w:r>
        <w:t xml:space="preserve"> In addition, any remaining basis of the qualifying property is deductible for both regular tax and AMT.</w:t>
      </w:r>
      <w:r>
        <w:rPr>
          <w:rStyle w:val="EndnoteReference"/>
        </w:rPr>
        <w:endnoteReference w:id="24"/>
      </w:r>
    </w:p>
    <w:p w:rsidR="006F68C5" w:rsidRDefault="006F68C5" w:rsidP="006F68C5">
      <w:pPr>
        <w:pStyle w:val="BodyTextIndent"/>
      </w:pPr>
      <w:r>
        <w:rPr>
          <w:i/>
        </w:rPr>
        <w:t>Example:</w:t>
      </w:r>
      <w:r>
        <w:t xml:space="preserve"> ABC Corporation purchases $10,000 of furniture in June 2008. The furniture has a seven-year life for regular tax purposes using the 200 percent declining balance method and a seven-year life for AMT using the 150 percent declining balance method. The furniture also qualifies for </w:t>
      </w:r>
      <w:proofErr w:type="gramStart"/>
      <w:r>
        <w:t>a 50</w:t>
      </w:r>
      <w:proofErr w:type="gramEnd"/>
      <w:r>
        <w:t xml:space="preserve"> percent bonus depreciation in the first year. ABC’s depreciation calculations are:</w:t>
      </w:r>
    </w:p>
    <w:tbl>
      <w:tblPr>
        <w:tblStyle w:val="NewStyle2014"/>
        <w:tblW w:w="0" w:type="auto"/>
        <w:tblLook w:val="04A0" w:firstRow="1" w:lastRow="0" w:firstColumn="1" w:lastColumn="0" w:noHBand="0" w:noVBand="1"/>
      </w:tblPr>
      <w:tblGrid>
        <w:gridCol w:w="1980"/>
        <w:gridCol w:w="1800"/>
        <w:gridCol w:w="2160"/>
        <w:gridCol w:w="2196"/>
      </w:tblGrid>
      <w:tr w:rsidR="006F68C5" w:rsidRPr="00F15781" w:rsidTr="00F51D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6F68C5" w:rsidRPr="00F15781" w:rsidRDefault="006F68C5" w:rsidP="006F68C5">
            <w:pPr>
              <w:pStyle w:val="TableHead1"/>
            </w:pPr>
            <w:r w:rsidRPr="00740603">
              <w:t>Year</w:t>
            </w:r>
          </w:p>
        </w:tc>
        <w:tc>
          <w:tcPr>
            <w:tcW w:w="1800" w:type="dxa"/>
          </w:tcPr>
          <w:p w:rsidR="006F68C5" w:rsidRPr="00F15781" w:rsidRDefault="006F68C5" w:rsidP="006F68C5">
            <w:pPr>
              <w:pStyle w:val="TableHead1"/>
              <w:cnfStyle w:val="100000000000" w:firstRow="1" w:lastRow="0" w:firstColumn="0" w:lastColumn="0" w:oddVBand="0" w:evenVBand="0" w:oddHBand="0" w:evenHBand="0" w:firstRowFirstColumn="0" w:firstRowLastColumn="0" w:lastRowFirstColumn="0" w:lastRowLastColumn="0"/>
            </w:pPr>
            <w:r w:rsidRPr="00740603">
              <w:t>Regular Tax Depreciation</w:t>
            </w:r>
          </w:p>
        </w:tc>
        <w:tc>
          <w:tcPr>
            <w:tcW w:w="2160" w:type="dxa"/>
          </w:tcPr>
          <w:p w:rsidR="006F68C5" w:rsidRPr="00F15781" w:rsidRDefault="006F68C5" w:rsidP="006F68C5">
            <w:pPr>
              <w:pStyle w:val="TableHead1"/>
              <w:cnfStyle w:val="100000000000" w:firstRow="1" w:lastRow="0" w:firstColumn="0" w:lastColumn="0" w:oddVBand="0" w:evenVBand="0" w:oddHBand="0" w:evenHBand="0" w:firstRowFirstColumn="0" w:firstRowLastColumn="0" w:lastRowFirstColumn="0" w:lastRowLastColumn="0"/>
            </w:pPr>
            <w:r w:rsidRPr="00740603">
              <w:t>AMT Depreciation</w:t>
            </w:r>
          </w:p>
        </w:tc>
        <w:tc>
          <w:tcPr>
            <w:tcW w:w="2196" w:type="dxa"/>
          </w:tcPr>
          <w:p w:rsidR="006F68C5" w:rsidRPr="00F15781" w:rsidRDefault="006F68C5" w:rsidP="006F68C5">
            <w:pPr>
              <w:pStyle w:val="TableHead1"/>
              <w:cnfStyle w:val="100000000000" w:firstRow="1" w:lastRow="0" w:firstColumn="0" w:lastColumn="0" w:oddVBand="0" w:evenVBand="0" w:oddHBand="0" w:evenHBand="0" w:firstRowFirstColumn="0" w:firstRowLastColumn="0" w:lastRowFirstColumn="0" w:lastRowLastColumn="0"/>
            </w:pPr>
            <w:r w:rsidRPr="00740603">
              <w:t>AMT Adjustment</w:t>
            </w:r>
          </w:p>
        </w:tc>
      </w:tr>
      <w:tr w:rsidR="006F68C5" w:rsidRPr="00F15781" w:rsidTr="00F51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6F68C5" w:rsidRPr="00F15781" w:rsidRDefault="006F68C5" w:rsidP="006F68C5">
            <w:pPr>
              <w:pStyle w:val="TableBody"/>
              <w:jc w:val="center"/>
            </w:pPr>
            <w:r w:rsidRPr="00F15781">
              <w:t>2008</w:t>
            </w:r>
          </w:p>
        </w:tc>
        <w:tc>
          <w:tcPr>
            <w:tcW w:w="1800" w:type="dxa"/>
          </w:tcPr>
          <w:p w:rsidR="006F68C5" w:rsidRPr="00F15781" w:rsidRDefault="006F68C5" w:rsidP="006F68C5">
            <w:pPr>
              <w:pStyle w:val="TableBody"/>
              <w:jc w:val="center"/>
              <w:cnfStyle w:val="000000100000" w:firstRow="0" w:lastRow="0" w:firstColumn="0" w:lastColumn="0" w:oddVBand="0" w:evenVBand="0" w:oddHBand="1" w:evenHBand="0" w:firstRowFirstColumn="0" w:firstRowLastColumn="0" w:lastRowFirstColumn="0" w:lastRowLastColumn="0"/>
            </w:pPr>
            <w:r w:rsidRPr="00F15781">
              <w:t>$ 5,715</w:t>
            </w:r>
          </w:p>
        </w:tc>
        <w:tc>
          <w:tcPr>
            <w:tcW w:w="2160" w:type="dxa"/>
          </w:tcPr>
          <w:p w:rsidR="006F68C5" w:rsidRPr="00F15781" w:rsidRDefault="006F68C5" w:rsidP="006F68C5">
            <w:pPr>
              <w:pStyle w:val="TableBody"/>
              <w:jc w:val="center"/>
              <w:cnfStyle w:val="000000100000" w:firstRow="0" w:lastRow="0" w:firstColumn="0" w:lastColumn="0" w:oddVBand="0" w:evenVBand="0" w:oddHBand="1" w:evenHBand="0" w:firstRowFirstColumn="0" w:firstRowLastColumn="0" w:lastRowFirstColumn="0" w:lastRowLastColumn="0"/>
            </w:pPr>
            <w:r w:rsidRPr="00F15781">
              <w:t>$ 5,715</w:t>
            </w:r>
          </w:p>
        </w:tc>
        <w:tc>
          <w:tcPr>
            <w:tcW w:w="2196" w:type="dxa"/>
          </w:tcPr>
          <w:p w:rsidR="006F68C5" w:rsidRPr="00F15781" w:rsidRDefault="006F68C5" w:rsidP="006F68C5">
            <w:pPr>
              <w:pStyle w:val="TableBody"/>
              <w:jc w:val="center"/>
              <w:cnfStyle w:val="000000100000" w:firstRow="0" w:lastRow="0" w:firstColumn="0" w:lastColumn="0" w:oddVBand="0" w:evenVBand="0" w:oddHBand="1" w:evenHBand="0" w:firstRowFirstColumn="0" w:firstRowLastColumn="0" w:lastRowFirstColumn="0" w:lastRowLastColumn="0"/>
            </w:pPr>
            <w:r w:rsidRPr="00F15781">
              <w:fldChar w:fldCharType="begin"/>
            </w:r>
            <w:r w:rsidRPr="00F15781">
              <w:instrText xml:space="preserve"> =b2-c2 \# "$#,##0;($#,##0)" </w:instrText>
            </w:r>
            <w:r w:rsidRPr="00F15781">
              <w:fldChar w:fldCharType="separate"/>
            </w:r>
            <w:r w:rsidRPr="00F15781">
              <w:t>$   0</w:t>
            </w:r>
            <w:r w:rsidRPr="00F15781">
              <w:fldChar w:fldCharType="end"/>
            </w:r>
          </w:p>
        </w:tc>
      </w:tr>
      <w:tr w:rsidR="006F68C5" w:rsidRPr="00F15781" w:rsidTr="00F51D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6F68C5" w:rsidRPr="00F15781" w:rsidRDefault="006F68C5" w:rsidP="006F68C5">
            <w:pPr>
              <w:pStyle w:val="TableBody"/>
              <w:jc w:val="center"/>
            </w:pPr>
            <w:r w:rsidRPr="00F15781">
              <w:t>2009</w:t>
            </w:r>
          </w:p>
        </w:tc>
        <w:tc>
          <w:tcPr>
            <w:tcW w:w="1800" w:type="dxa"/>
          </w:tcPr>
          <w:p w:rsidR="006F68C5" w:rsidRPr="00F15781" w:rsidRDefault="006F68C5" w:rsidP="006F68C5">
            <w:pPr>
              <w:pStyle w:val="TableBody"/>
              <w:jc w:val="center"/>
              <w:cnfStyle w:val="000000010000" w:firstRow="0" w:lastRow="0" w:firstColumn="0" w:lastColumn="0" w:oddVBand="0" w:evenVBand="0" w:oddHBand="0" w:evenHBand="1" w:firstRowFirstColumn="0" w:firstRowLastColumn="0" w:lastRowFirstColumn="0" w:lastRowLastColumn="0"/>
            </w:pPr>
            <w:r w:rsidRPr="00F15781">
              <w:t>$ 1,224</w:t>
            </w:r>
          </w:p>
        </w:tc>
        <w:tc>
          <w:tcPr>
            <w:tcW w:w="2160" w:type="dxa"/>
          </w:tcPr>
          <w:p w:rsidR="006F68C5" w:rsidRPr="00F15781" w:rsidRDefault="006F68C5" w:rsidP="006F68C5">
            <w:pPr>
              <w:pStyle w:val="TableBody"/>
              <w:jc w:val="center"/>
              <w:cnfStyle w:val="000000010000" w:firstRow="0" w:lastRow="0" w:firstColumn="0" w:lastColumn="0" w:oddVBand="0" w:evenVBand="0" w:oddHBand="0" w:evenHBand="1" w:firstRowFirstColumn="0" w:firstRowLastColumn="0" w:lastRowFirstColumn="0" w:lastRowLastColumn="0"/>
            </w:pPr>
            <w:r w:rsidRPr="00F15781">
              <w:t>$ 1,224</w:t>
            </w:r>
          </w:p>
        </w:tc>
        <w:tc>
          <w:tcPr>
            <w:tcW w:w="2196" w:type="dxa"/>
          </w:tcPr>
          <w:p w:rsidR="006F68C5" w:rsidRPr="00F15781" w:rsidRDefault="006F68C5" w:rsidP="006F68C5">
            <w:pPr>
              <w:pStyle w:val="TableBody"/>
              <w:jc w:val="center"/>
              <w:cnfStyle w:val="000000010000" w:firstRow="0" w:lastRow="0" w:firstColumn="0" w:lastColumn="0" w:oddVBand="0" w:evenVBand="0" w:oddHBand="0" w:evenHBand="1" w:firstRowFirstColumn="0" w:firstRowLastColumn="0" w:lastRowFirstColumn="0" w:lastRowLastColumn="0"/>
            </w:pPr>
            <w:r w:rsidRPr="00F15781">
              <w:fldChar w:fldCharType="begin"/>
            </w:r>
            <w:r w:rsidRPr="00F15781">
              <w:instrText xml:space="preserve"> =b3-c3 \# "$#,##0;($#,##0)" </w:instrText>
            </w:r>
            <w:r w:rsidRPr="00F15781">
              <w:fldChar w:fldCharType="separate"/>
            </w:r>
            <w:r w:rsidRPr="00F15781">
              <w:t>$   0</w:t>
            </w:r>
            <w:r w:rsidRPr="00F15781">
              <w:fldChar w:fldCharType="end"/>
            </w:r>
          </w:p>
        </w:tc>
      </w:tr>
      <w:tr w:rsidR="006F68C5" w:rsidRPr="00F15781" w:rsidTr="00F51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6F68C5" w:rsidRPr="00F15781" w:rsidRDefault="006F68C5" w:rsidP="006F68C5">
            <w:pPr>
              <w:pStyle w:val="TableBody"/>
              <w:jc w:val="center"/>
            </w:pPr>
            <w:r w:rsidRPr="00F15781">
              <w:t>2010</w:t>
            </w:r>
          </w:p>
        </w:tc>
        <w:tc>
          <w:tcPr>
            <w:tcW w:w="1800" w:type="dxa"/>
          </w:tcPr>
          <w:p w:rsidR="006F68C5" w:rsidRPr="00F15781" w:rsidRDefault="006F68C5" w:rsidP="006F68C5">
            <w:pPr>
              <w:pStyle w:val="TableBody"/>
              <w:jc w:val="center"/>
              <w:cnfStyle w:val="000000100000" w:firstRow="0" w:lastRow="0" w:firstColumn="0" w:lastColumn="0" w:oddVBand="0" w:evenVBand="0" w:oddHBand="1" w:evenHBand="0" w:firstRowFirstColumn="0" w:firstRowLastColumn="0" w:lastRowFirstColumn="0" w:lastRowLastColumn="0"/>
            </w:pPr>
            <w:r w:rsidRPr="00F15781">
              <w:t>$ 875</w:t>
            </w:r>
          </w:p>
        </w:tc>
        <w:tc>
          <w:tcPr>
            <w:tcW w:w="2160" w:type="dxa"/>
          </w:tcPr>
          <w:p w:rsidR="006F68C5" w:rsidRPr="00F15781" w:rsidRDefault="006F68C5" w:rsidP="006F68C5">
            <w:pPr>
              <w:pStyle w:val="TableBody"/>
              <w:jc w:val="center"/>
              <w:cnfStyle w:val="000000100000" w:firstRow="0" w:lastRow="0" w:firstColumn="0" w:lastColumn="0" w:oddVBand="0" w:evenVBand="0" w:oddHBand="1" w:evenHBand="0" w:firstRowFirstColumn="0" w:firstRowLastColumn="0" w:lastRowFirstColumn="0" w:lastRowLastColumn="0"/>
            </w:pPr>
            <w:r w:rsidRPr="00F15781">
              <w:t>$ 875</w:t>
            </w:r>
          </w:p>
        </w:tc>
        <w:tc>
          <w:tcPr>
            <w:tcW w:w="2196" w:type="dxa"/>
          </w:tcPr>
          <w:p w:rsidR="006F68C5" w:rsidRPr="00F15781" w:rsidRDefault="006F68C5" w:rsidP="006F68C5">
            <w:pPr>
              <w:pStyle w:val="TableBody"/>
              <w:jc w:val="center"/>
              <w:cnfStyle w:val="000000100000" w:firstRow="0" w:lastRow="0" w:firstColumn="0" w:lastColumn="0" w:oddVBand="0" w:evenVBand="0" w:oddHBand="1" w:evenHBand="0" w:firstRowFirstColumn="0" w:firstRowLastColumn="0" w:lastRowFirstColumn="0" w:lastRowLastColumn="0"/>
            </w:pPr>
            <w:r w:rsidRPr="00F15781">
              <w:fldChar w:fldCharType="begin"/>
            </w:r>
            <w:r w:rsidRPr="00F15781">
              <w:instrText xml:space="preserve"> =b4-c4 \# "$#,##0;($#,##0)" </w:instrText>
            </w:r>
            <w:r w:rsidRPr="00F15781">
              <w:fldChar w:fldCharType="separate"/>
            </w:r>
            <w:r w:rsidRPr="00F15781">
              <w:t>$   0</w:t>
            </w:r>
            <w:r w:rsidRPr="00F15781">
              <w:fldChar w:fldCharType="end"/>
            </w:r>
          </w:p>
        </w:tc>
      </w:tr>
      <w:tr w:rsidR="006F68C5" w:rsidRPr="00F15781" w:rsidTr="00F51D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6F68C5" w:rsidRPr="00F15781" w:rsidRDefault="006F68C5" w:rsidP="006F68C5">
            <w:pPr>
              <w:pStyle w:val="TableBody"/>
              <w:jc w:val="center"/>
            </w:pPr>
            <w:r w:rsidRPr="00F15781">
              <w:t>2011</w:t>
            </w:r>
          </w:p>
        </w:tc>
        <w:tc>
          <w:tcPr>
            <w:tcW w:w="1800" w:type="dxa"/>
          </w:tcPr>
          <w:p w:rsidR="006F68C5" w:rsidRPr="00F15781" w:rsidRDefault="006F68C5" w:rsidP="006F68C5">
            <w:pPr>
              <w:pStyle w:val="TableBody"/>
              <w:jc w:val="center"/>
              <w:cnfStyle w:val="000000010000" w:firstRow="0" w:lastRow="0" w:firstColumn="0" w:lastColumn="0" w:oddVBand="0" w:evenVBand="0" w:oddHBand="0" w:evenHBand="1" w:firstRowFirstColumn="0" w:firstRowLastColumn="0" w:lastRowFirstColumn="0" w:lastRowLastColumn="0"/>
            </w:pPr>
            <w:r w:rsidRPr="00F15781">
              <w:t>$ 624</w:t>
            </w:r>
          </w:p>
        </w:tc>
        <w:tc>
          <w:tcPr>
            <w:tcW w:w="2160" w:type="dxa"/>
          </w:tcPr>
          <w:p w:rsidR="006F68C5" w:rsidRPr="00F15781" w:rsidRDefault="006F68C5" w:rsidP="006F68C5">
            <w:pPr>
              <w:pStyle w:val="TableBody"/>
              <w:jc w:val="center"/>
              <w:cnfStyle w:val="000000010000" w:firstRow="0" w:lastRow="0" w:firstColumn="0" w:lastColumn="0" w:oddVBand="0" w:evenVBand="0" w:oddHBand="0" w:evenHBand="1" w:firstRowFirstColumn="0" w:firstRowLastColumn="0" w:lastRowFirstColumn="0" w:lastRowLastColumn="0"/>
            </w:pPr>
            <w:r w:rsidRPr="00F15781">
              <w:t>$ 624</w:t>
            </w:r>
          </w:p>
        </w:tc>
        <w:tc>
          <w:tcPr>
            <w:tcW w:w="2196" w:type="dxa"/>
          </w:tcPr>
          <w:p w:rsidR="006F68C5" w:rsidRPr="00F15781" w:rsidRDefault="006F68C5" w:rsidP="006F68C5">
            <w:pPr>
              <w:pStyle w:val="TableBody"/>
              <w:jc w:val="center"/>
              <w:cnfStyle w:val="000000010000" w:firstRow="0" w:lastRow="0" w:firstColumn="0" w:lastColumn="0" w:oddVBand="0" w:evenVBand="0" w:oddHBand="0" w:evenHBand="1" w:firstRowFirstColumn="0" w:firstRowLastColumn="0" w:lastRowFirstColumn="0" w:lastRowLastColumn="0"/>
            </w:pPr>
            <w:r w:rsidRPr="00F15781">
              <w:fldChar w:fldCharType="begin"/>
            </w:r>
            <w:r w:rsidRPr="00F15781">
              <w:instrText xml:space="preserve"> =b5-c5 \# "$#,##0;($#,##0)" </w:instrText>
            </w:r>
            <w:r w:rsidRPr="00F15781">
              <w:fldChar w:fldCharType="separate"/>
            </w:r>
            <w:r w:rsidRPr="00F15781">
              <w:t>$   0</w:t>
            </w:r>
            <w:r w:rsidRPr="00F15781">
              <w:fldChar w:fldCharType="end"/>
            </w:r>
          </w:p>
        </w:tc>
      </w:tr>
      <w:tr w:rsidR="006F68C5" w:rsidRPr="00F15781" w:rsidTr="00F51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6F68C5" w:rsidRPr="00F15781" w:rsidRDefault="006F68C5" w:rsidP="006F68C5">
            <w:pPr>
              <w:pStyle w:val="TableBody"/>
              <w:jc w:val="center"/>
            </w:pPr>
            <w:r w:rsidRPr="00F15781">
              <w:t>2012</w:t>
            </w:r>
          </w:p>
        </w:tc>
        <w:tc>
          <w:tcPr>
            <w:tcW w:w="1800" w:type="dxa"/>
          </w:tcPr>
          <w:p w:rsidR="006F68C5" w:rsidRPr="00F15781" w:rsidRDefault="006F68C5" w:rsidP="006F68C5">
            <w:pPr>
              <w:pStyle w:val="TableBody"/>
              <w:jc w:val="center"/>
              <w:cnfStyle w:val="000000100000" w:firstRow="0" w:lastRow="0" w:firstColumn="0" w:lastColumn="0" w:oddVBand="0" w:evenVBand="0" w:oddHBand="1" w:evenHBand="0" w:firstRowFirstColumn="0" w:firstRowLastColumn="0" w:lastRowFirstColumn="0" w:lastRowLastColumn="0"/>
            </w:pPr>
            <w:r w:rsidRPr="00F15781">
              <w:t>$ 447</w:t>
            </w:r>
          </w:p>
        </w:tc>
        <w:tc>
          <w:tcPr>
            <w:tcW w:w="2160" w:type="dxa"/>
          </w:tcPr>
          <w:p w:rsidR="006F68C5" w:rsidRPr="00F15781" w:rsidRDefault="006F68C5" w:rsidP="006F68C5">
            <w:pPr>
              <w:pStyle w:val="TableBody"/>
              <w:jc w:val="center"/>
              <w:cnfStyle w:val="000000100000" w:firstRow="0" w:lastRow="0" w:firstColumn="0" w:lastColumn="0" w:oddVBand="0" w:evenVBand="0" w:oddHBand="1" w:evenHBand="0" w:firstRowFirstColumn="0" w:firstRowLastColumn="0" w:lastRowFirstColumn="0" w:lastRowLastColumn="0"/>
            </w:pPr>
            <w:r w:rsidRPr="00F15781">
              <w:t>$ 447</w:t>
            </w:r>
          </w:p>
        </w:tc>
        <w:tc>
          <w:tcPr>
            <w:tcW w:w="2196" w:type="dxa"/>
          </w:tcPr>
          <w:p w:rsidR="006F68C5" w:rsidRPr="00F15781" w:rsidRDefault="006F68C5" w:rsidP="006F68C5">
            <w:pPr>
              <w:pStyle w:val="TableBody"/>
              <w:jc w:val="center"/>
              <w:cnfStyle w:val="000000100000" w:firstRow="0" w:lastRow="0" w:firstColumn="0" w:lastColumn="0" w:oddVBand="0" w:evenVBand="0" w:oddHBand="1" w:evenHBand="0" w:firstRowFirstColumn="0" w:firstRowLastColumn="0" w:lastRowFirstColumn="0" w:lastRowLastColumn="0"/>
            </w:pPr>
            <w:r w:rsidRPr="00F15781">
              <w:fldChar w:fldCharType="begin"/>
            </w:r>
            <w:r w:rsidRPr="00F15781">
              <w:instrText xml:space="preserve"> =b6-c6 \# "$#,##0;($#,##0)" </w:instrText>
            </w:r>
            <w:r w:rsidRPr="00F15781">
              <w:fldChar w:fldCharType="separate"/>
            </w:r>
            <w:r w:rsidRPr="00F15781">
              <w:t>$   0</w:t>
            </w:r>
            <w:r w:rsidRPr="00F15781">
              <w:fldChar w:fldCharType="end"/>
            </w:r>
          </w:p>
        </w:tc>
      </w:tr>
      <w:tr w:rsidR="006F68C5" w:rsidRPr="00F15781" w:rsidTr="00F51D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6F68C5" w:rsidRPr="00F15781" w:rsidRDefault="006F68C5" w:rsidP="006F68C5">
            <w:pPr>
              <w:pStyle w:val="TableBody"/>
              <w:jc w:val="center"/>
            </w:pPr>
            <w:r w:rsidRPr="00F15781">
              <w:t>2013</w:t>
            </w:r>
          </w:p>
        </w:tc>
        <w:tc>
          <w:tcPr>
            <w:tcW w:w="1800" w:type="dxa"/>
          </w:tcPr>
          <w:p w:rsidR="006F68C5" w:rsidRPr="00F15781" w:rsidRDefault="006F68C5" w:rsidP="006F68C5">
            <w:pPr>
              <w:pStyle w:val="TableBody"/>
              <w:jc w:val="center"/>
              <w:cnfStyle w:val="000000010000" w:firstRow="0" w:lastRow="0" w:firstColumn="0" w:lastColumn="0" w:oddVBand="0" w:evenVBand="0" w:oddHBand="0" w:evenHBand="1" w:firstRowFirstColumn="0" w:firstRowLastColumn="0" w:lastRowFirstColumn="0" w:lastRowLastColumn="0"/>
            </w:pPr>
            <w:r w:rsidRPr="00F15781">
              <w:t>$ 446</w:t>
            </w:r>
          </w:p>
        </w:tc>
        <w:tc>
          <w:tcPr>
            <w:tcW w:w="2160" w:type="dxa"/>
          </w:tcPr>
          <w:p w:rsidR="006F68C5" w:rsidRPr="00F15781" w:rsidRDefault="006F68C5" w:rsidP="006F68C5">
            <w:pPr>
              <w:pStyle w:val="TableBody"/>
              <w:jc w:val="center"/>
              <w:cnfStyle w:val="000000010000" w:firstRow="0" w:lastRow="0" w:firstColumn="0" w:lastColumn="0" w:oddVBand="0" w:evenVBand="0" w:oddHBand="0" w:evenHBand="1" w:firstRowFirstColumn="0" w:firstRowLastColumn="0" w:lastRowFirstColumn="0" w:lastRowLastColumn="0"/>
            </w:pPr>
            <w:r w:rsidRPr="00F15781">
              <w:t>$ 446</w:t>
            </w:r>
          </w:p>
        </w:tc>
        <w:tc>
          <w:tcPr>
            <w:tcW w:w="2196" w:type="dxa"/>
          </w:tcPr>
          <w:p w:rsidR="006F68C5" w:rsidRPr="00F15781" w:rsidRDefault="006F68C5" w:rsidP="006F68C5">
            <w:pPr>
              <w:pStyle w:val="TableBody"/>
              <w:jc w:val="center"/>
              <w:cnfStyle w:val="000000010000" w:firstRow="0" w:lastRow="0" w:firstColumn="0" w:lastColumn="0" w:oddVBand="0" w:evenVBand="0" w:oddHBand="0" w:evenHBand="1" w:firstRowFirstColumn="0" w:firstRowLastColumn="0" w:lastRowFirstColumn="0" w:lastRowLastColumn="0"/>
            </w:pPr>
            <w:r w:rsidRPr="00F15781">
              <w:fldChar w:fldCharType="begin"/>
            </w:r>
            <w:r w:rsidRPr="00F15781">
              <w:instrText xml:space="preserve"> =b7-c7 \# "$#,##0;($#,##0)" </w:instrText>
            </w:r>
            <w:r w:rsidRPr="00F15781">
              <w:fldChar w:fldCharType="separate"/>
            </w:r>
            <w:r w:rsidRPr="00F15781">
              <w:t>$   0</w:t>
            </w:r>
            <w:r w:rsidRPr="00F15781">
              <w:fldChar w:fldCharType="end"/>
            </w:r>
          </w:p>
        </w:tc>
      </w:tr>
      <w:tr w:rsidR="006F68C5" w:rsidRPr="00F15781" w:rsidTr="00F51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6F68C5" w:rsidRPr="00F15781" w:rsidRDefault="006F68C5" w:rsidP="006F68C5">
            <w:pPr>
              <w:pStyle w:val="TableBody"/>
              <w:jc w:val="center"/>
            </w:pPr>
            <w:r w:rsidRPr="00F15781">
              <w:t>2014</w:t>
            </w:r>
          </w:p>
        </w:tc>
        <w:tc>
          <w:tcPr>
            <w:tcW w:w="1800" w:type="dxa"/>
          </w:tcPr>
          <w:p w:rsidR="006F68C5" w:rsidRPr="00F15781" w:rsidRDefault="006F68C5" w:rsidP="006F68C5">
            <w:pPr>
              <w:pStyle w:val="TableBody"/>
              <w:jc w:val="center"/>
              <w:cnfStyle w:val="000000100000" w:firstRow="0" w:lastRow="0" w:firstColumn="0" w:lastColumn="0" w:oddVBand="0" w:evenVBand="0" w:oddHBand="1" w:evenHBand="0" w:firstRowFirstColumn="0" w:firstRowLastColumn="0" w:lastRowFirstColumn="0" w:lastRowLastColumn="0"/>
            </w:pPr>
            <w:r w:rsidRPr="00F15781">
              <w:t>$ 446</w:t>
            </w:r>
          </w:p>
        </w:tc>
        <w:tc>
          <w:tcPr>
            <w:tcW w:w="2160" w:type="dxa"/>
          </w:tcPr>
          <w:p w:rsidR="006F68C5" w:rsidRPr="00F15781" w:rsidRDefault="006F68C5" w:rsidP="006F68C5">
            <w:pPr>
              <w:pStyle w:val="TableBody"/>
              <w:jc w:val="center"/>
              <w:cnfStyle w:val="000000100000" w:firstRow="0" w:lastRow="0" w:firstColumn="0" w:lastColumn="0" w:oddVBand="0" w:evenVBand="0" w:oddHBand="1" w:evenHBand="0" w:firstRowFirstColumn="0" w:firstRowLastColumn="0" w:lastRowFirstColumn="0" w:lastRowLastColumn="0"/>
            </w:pPr>
            <w:r w:rsidRPr="00F15781">
              <w:t>$ 446</w:t>
            </w:r>
          </w:p>
        </w:tc>
        <w:tc>
          <w:tcPr>
            <w:tcW w:w="2196" w:type="dxa"/>
          </w:tcPr>
          <w:p w:rsidR="006F68C5" w:rsidRPr="00F15781" w:rsidRDefault="006F68C5" w:rsidP="006F68C5">
            <w:pPr>
              <w:pStyle w:val="TableBody"/>
              <w:jc w:val="center"/>
              <w:cnfStyle w:val="000000100000" w:firstRow="0" w:lastRow="0" w:firstColumn="0" w:lastColumn="0" w:oddVBand="0" w:evenVBand="0" w:oddHBand="1" w:evenHBand="0" w:firstRowFirstColumn="0" w:firstRowLastColumn="0" w:lastRowFirstColumn="0" w:lastRowLastColumn="0"/>
            </w:pPr>
            <w:r w:rsidRPr="00F15781">
              <w:fldChar w:fldCharType="begin"/>
            </w:r>
            <w:r w:rsidRPr="00F15781">
              <w:instrText xml:space="preserve"> =b8-c8 \# "$#,##0;($#,##0)" </w:instrText>
            </w:r>
            <w:r w:rsidRPr="00F15781">
              <w:fldChar w:fldCharType="separate"/>
            </w:r>
            <w:r w:rsidRPr="00F15781">
              <w:t>$   0</w:t>
            </w:r>
            <w:r w:rsidRPr="00F15781">
              <w:fldChar w:fldCharType="end"/>
            </w:r>
          </w:p>
        </w:tc>
      </w:tr>
      <w:tr w:rsidR="006F68C5" w:rsidRPr="00F15781" w:rsidTr="00F51D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6F68C5" w:rsidRPr="00F15781" w:rsidRDefault="006F68C5" w:rsidP="006F68C5">
            <w:pPr>
              <w:pStyle w:val="TableBody"/>
              <w:jc w:val="center"/>
            </w:pPr>
            <w:r w:rsidRPr="00F15781">
              <w:t>2015</w:t>
            </w:r>
          </w:p>
        </w:tc>
        <w:tc>
          <w:tcPr>
            <w:tcW w:w="1800" w:type="dxa"/>
          </w:tcPr>
          <w:p w:rsidR="006F68C5" w:rsidRPr="00F15781" w:rsidRDefault="006F68C5" w:rsidP="006F68C5">
            <w:pPr>
              <w:pStyle w:val="TableBody"/>
              <w:jc w:val="center"/>
              <w:cnfStyle w:val="000000010000" w:firstRow="0" w:lastRow="0" w:firstColumn="0" w:lastColumn="0" w:oddVBand="0" w:evenVBand="0" w:oddHBand="0" w:evenHBand="1" w:firstRowFirstColumn="0" w:firstRowLastColumn="0" w:lastRowFirstColumn="0" w:lastRowLastColumn="0"/>
            </w:pPr>
            <w:r w:rsidRPr="00F15781">
              <w:t>$ 223</w:t>
            </w:r>
          </w:p>
        </w:tc>
        <w:tc>
          <w:tcPr>
            <w:tcW w:w="2160" w:type="dxa"/>
          </w:tcPr>
          <w:p w:rsidR="006F68C5" w:rsidRPr="00F15781" w:rsidRDefault="006F68C5" w:rsidP="006F68C5">
            <w:pPr>
              <w:pStyle w:val="TableBody"/>
              <w:jc w:val="center"/>
              <w:cnfStyle w:val="000000010000" w:firstRow="0" w:lastRow="0" w:firstColumn="0" w:lastColumn="0" w:oddVBand="0" w:evenVBand="0" w:oddHBand="0" w:evenHBand="1" w:firstRowFirstColumn="0" w:firstRowLastColumn="0" w:lastRowFirstColumn="0" w:lastRowLastColumn="0"/>
            </w:pPr>
            <w:r w:rsidRPr="00F15781">
              <w:t>$ 223</w:t>
            </w:r>
          </w:p>
        </w:tc>
        <w:tc>
          <w:tcPr>
            <w:tcW w:w="2196" w:type="dxa"/>
          </w:tcPr>
          <w:p w:rsidR="006F68C5" w:rsidRPr="00F15781" w:rsidRDefault="006F68C5" w:rsidP="006F68C5">
            <w:pPr>
              <w:pStyle w:val="TableBody"/>
              <w:jc w:val="center"/>
              <w:cnfStyle w:val="000000010000" w:firstRow="0" w:lastRow="0" w:firstColumn="0" w:lastColumn="0" w:oddVBand="0" w:evenVBand="0" w:oddHBand="0" w:evenHBand="1" w:firstRowFirstColumn="0" w:firstRowLastColumn="0" w:lastRowFirstColumn="0" w:lastRowLastColumn="0"/>
            </w:pPr>
            <w:r w:rsidRPr="00F15781">
              <w:fldChar w:fldCharType="begin"/>
            </w:r>
            <w:r w:rsidRPr="00F15781">
              <w:instrText xml:space="preserve"> =b9-c9 \# "$#,##0;($#,##0)" </w:instrText>
            </w:r>
            <w:r w:rsidRPr="00F15781">
              <w:fldChar w:fldCharType="separate"/>
            </w:r>
            <w:r w:rsidRPr="00F15781">
              <w:t>$   0</w:t>
            </w:r>
            <w:r w:rsidRPr="00F15781">
              <w:fldChar w:fldCharType="end"/>
            </w:r>
          </w:p>
        </w:tc>
      </w:tr>
    </w:tbl>
    <w:p w:rsidR="00F51DEF" w:rsidRDefault="00F51DEF" w:rsidP="00F51DEF">
      <w:pPr>
        <w:pStyle w:val="NUHeading3"/>
      </w:pPr>
      <w:r>
        <w:br w:type="page"/>
      </w:r>
    </w:p>
    <w:p w:rsidR="00F51DEF" w:rsidRDefault="00F51DEF" w:rsidP="00F51DEF">
      <w:pPr>
        <w:pStyle w:val="Title2"/>
      </w:pPr>
      <w:r>
        <w:lastRenderedPageBreak/>
        <w:t>Alternative Minimum Tax</w:t>
      </w:r>
    </w:p>
    <w:p w:rsidR="006F68C5" w:rsidRPr="0088794C" w:rsidRDefault="006F68C5" w:rsidP="00F51DEF">
      <w:pPr>
        <w:pStyle w:val="NUHeading3"/>
      </w:pPr>
      <w:r w:rsidRPr="0088794C">
        <w:t>NOL Adjustments</w:t>
      </w:r>
    </w:p>
    <w:p w:rsidR="006F68C5" w:rsidRDefault="006F68C5" w:rsidP="006F68C5">
      <w:pPr>
        <w:pStyle w:val="Body"/>
      </w:pPr>
      <w:r>
        <w:t>The net operating loss (NOL) allowed under Code section 172 is added back to taxable income and replaced with the alternative tax net operating loss (ATNOL) deduction.</w:t>
      </w:r>
      <w:r>
        <w:rPr>
          <w:rStyle w:val="EndnoteReference"/>
        </w:rPr>
        <w:endnoteReference w:id="25"/>
      </w:r>
    </w:p>
    <w:p w:rsidR="006F68C5" w:rsidRDefault="006F68C5" w:rsidP="006F68C5">
      <w:pPr>
        <w:pStyle w:val="Body"/>
      </w:pPr>
      <w:r>
        <w:t>A taxpayer that has a NOL in a year may also, but not necessarily, have an ATNOL. For this reason, a separate calculation must be performed to determine a taxpayer’s ATNOL. This is done by starting with the NOL for regular tax purposes and increasing or decreasing this amount by the AMT adjustments and preferences in the year of the loss.</w:t>
      </w:r>
      <w:r>
        <w:rPr>
          <w:rStyle w:val="EndnoteReference"/>
        </w:rPr>
        <w:endnoteReference w:id="26"/>
      </w:r>
    </w:p>
    <w:p w:rsidR="006F68C5" w:rsidRDefault="006F68C5" w:rsidP="006F68C5">
      <w:pPr>
        <w:pStyle w:val="BodyTextIndent"/>
      </w:pPr>
      <w:r>
        <w:rPr>
          <w:i/>
        </w:rPr>
        <w:t>Example:</w:t>
      </w:r>
      <w:r>
        <w:t xml:space="preserve"> Jack determined that he had a NOL of $175,000, which was attributable to one year when his business fell on hard times. His only AMT adjustment in that year was a $15,000 positive depreciation adjustment. Since the positive depreciation adjustment increased his AMTI, it reduces his NOL by that amount to yield an ATNOL of $160,000.</w:t>
      </w:r>
    </w:p>
    <w:p w:rsidR="006F68C5" w:rsidRDefault="006F68C5" w:rsidP="006F68C5">
      <w:pPr>
        <w:pStyle w:val="Body"/>
      </w:pPr>
      <w:r>
        <w:t>The amount of ATNOL that can be claimed as a reduction to AMTI is limited to 90 percent of the taxpayers AMTI determined without regard to the ATNOL.</w:t>
      </w:r>
      <w:r>
        <w:rPr>
          <w:rStyle w:val="EndnoteReference"/>
        </w:rPr>
        <w:endnoteReference w:id="27"/>
      </w:r>
      <w:r>
        <w:t xml:space="preserve"> </w:t>
      </w:r>
    </w:p>
    <w:p w:rsidR="006F68C5" w:rsidRPr="00863EAE" w:rsidRDefault="006F68C5" w:rsidP="00F51DEF">
      <w:pPr>
        <w:pStyle w:val="NUHeading3"/>
      </w:pPr>
      <w:r w:rsidRPr="00863EAE">
        <w:t>Adjustments Related to Gains and Losses from the Sale of Property</w:t>
      </w:r>
    </w:p>
    <w:p w:rsidR="006F68C5" w:rsidRDefault="006F68C5" w:rsidP="006F68C5">
      <w:pPr>
        <w:pStyle w:val="Body"/>
      </w:pPr>
      <w:r>
        <w:t>Gains or losses on the sale of property are adjusted to reflect the special depreciation rules used for AMT purposes.</w:t>
      </w:r>
      <w:r>
        <w:rPr>
          <w:rStyle w:val="EndnoteReference"/>
        </w:rPr>
        <w:endnoteReference w:id="28"/>
      </w:r>
      <w:r>
        <w:t xml:space="preserve"> Since the assets are depreciated using potentially different methods or lives, their adjusted basis for AMT purposes may be different than for regular tax purposes. As a result, when an asset is sold or otherwise disposed of, the gain or loss must be recomputed using the asset’s adjusted AMT basis.</w:t>
      </w:r>
    </w:p>
    <w:p w:rsidR="006F68C5" w:rsidRDefault="006F68C5" w:rsidP="006F68C5">
      <w:pPr>
        <w:pStyle w:val="BodyTextIndent"/>
      </w:pPr>
      <w:r>
        <w:rPr>
          <w:i/>
        </w:rPr>
        <w:t>Example:</w:t>
      </w:r>
      <w:r>
        <w:t xml:space="preserve"> In 2003, Tire World, Inc. sold a piece of furniture for $3,000. The company originally purchased for $10,000 in 1998. At the time of the sale, their adjusted tax basis in the asset was $1,785 for regular tax purposes and $4,370 for AMT. Tire World correctly computes their regular tax gain as $1,215 ($3,000 - $1,785). For AMT purposes, Tire World realized a loss of $1,370 ($3,000 - $4,370). Tire World would report an “adjusted gain or loss” adjustment of </w:t>
      </w:r>
      <w:r w:rsidRPr="00EF0C7B">
        <w:rPr>
          <w:i/>
        </w:rPr>
        <w:t>negative</w:t>
      </w:r>
      <w:r>
        <w:t xml:space="preserve"> $2,585, the difference between the adjusted basis in the asset for regular tax and AMT purposes.</w:t>
      </w:r>
    </w:p>
    <w:p w:rsidR="006F68C5" w:rsidRDefault="006F68C5" w:rsidP="00F51DEF">
      <w:pPr>
        <w:pStyle w:val="NUHeading2"/>
      </w:pPr>
      <w:r>
        <w:t>Individual Adjustments</w:t>
      </w:r>
    </w:p>
    <w:p w:rsidR="006F68C5" w:rsidRDefault="006F68C5" w:rsidP="006F68C5">
      <w:pPr>
        <w:pStyle w:val="Body"/>
      </w:pPr>
      <w:r>
        <w:t>Certain adjustments apply solely to individuals:</w:t>
      </w:r>
    </w:p>
    <w:p w:rsidR="00F51DEF" w:rsidRDefault="006F68C5" w:rsidP="006F68C5">
      <w:pPr>
        <w:pStyle w:val="List"/>
      </w:pPr>
      <w:r w:rsidRPr="00626D51">
        <w:t>1.</w:t>
      </w:r>
      <w:r>
        <w:rPr>
          <w:i/>
        </w:rPr>
        <w:tab/>
      </w:r>
      <w:r w:rsidRPr="00863EAE">
        <w:rPr>
          <w:i/>
        </w:rPr>
        <w:t>Miscellaneous itemized deductions.</w:t>
      </w:r>
      <w:r>
        <w:t xml:space="preserve"> When calculating AMTI, adjustments must be made for any miscellaneous itemized deduction as defined in I.R.C. §67(b).</w:t>
      </w:r>
      <w:r>
        <w:rPr>
          <w:rStyle w:val="EndnoteReference"/>
        </w:rPr>
        <w:endnoteReference w:id="29"/>
      </w:r>
      <w:r>
        <w:t xml:space="preserve"> </w:t>
      </w:r>
      <w:r w:rsidR="00F51DEF">
        <w:br w:type="page"/>
      </w:r>
    </w:p>
    <w:p w:rsidR="00F51DEF" w:rsidRDefault="00F51DEF" w:rsidP="00F51DEF">
      <w:pPr>
        <w:pStyle w:val="Title2"/>
      </w:pPr>
      <w:r>
        <w:lastRenderedPageBreak/>
        <w:t>Alternative Minimum Tax</w:t>
      </w:r>
    </w:p>
    <w:p w:rsidR="006F68C5" w:rsidRDefault="00F51DEF" w:rsidP="006F68C5">
      <w:pPr>
        <w:pStyle w:val="List"/>
      </w:pPr>
      <w:r>
        <w:tab/>
      </w:r>
      <w:r w:rsidR="00091E9B">
        <w:t xml:space="preserve">Therefore, taxpayers with investment expenses, tax preparation fees, unreimbursed employee business </w:t>
      </w:r>
      <w:r w:rsidR="006F68C5">
        <w:t>expenses, and other miscellaneous deductions that exceed 2 percent of their adjusted gross income may not receive a benefit from these expenses if the adjustment for AMT purposes causes them to be subject to the tax.</w:t>
      </w:r>
    </w:p>
    <w:p w:rsidR="006F68C5" w:rsidRDefault="006F68C5" w:rsidP="006F68C5">
      <w:pPr>
        <w:pStyle w:val="BodyTextIndent"/>
      </w:pPr>
      <w:r>
        <w:rPr>
          <w:i/>
        </w:rPr>
        <w:t>Example:</w:t>
      </w:r>
      <w:r>
        <w:t xml:space="preserve"> Joe Grant retired in early 2009 and, as a result his AGI was $45,000, much lower than usual. He paid $1,500 to have his 2008 tax return prepared, $10,000 to his investment manager for managing his investment portfolio and incurred $5,000 of unreimbursed employee business expenses. All of these expenses combined exceed 2 percent of his AGI. Joe’s itemized deduction schedule for 2009 will show that $7,500 of these expenses </w:t>
      </w:r>
      <w:proofErr w:type="gramStart"/>
      <w:r>
        <w:t>are</w:t>
      </w:r>
      <w:proofErr w:type="gramEnd"/>
      <w:r>
        <w:t xml:space="preserve"> deductible (the total of his expenses less 2 percent of his AGI). However, $7,500 will need to be added to his taxable income to determine his AMTI for 2009.</w:t>
      </w:r>
    </w:p>
    <w:p w:rsidR="006F68C5" w:rsidRDefault="006F68C5" w:rsidP="006F68C5">
      <w:pPr>
        <w:pStyle w:val="List"/>
      </w:pPr>
      <w:r w:rsidRPr="00626D51">
        <w:t>2.</w:t>
      </w:r>
      <w:r>
        <w:rPr>
          <w:i/>
        </w:rPr>
        <w:tab/>
      </w:r>
      <w:r w:rsidRPr="00863EAE">
        <w:rPr>
          <w:i/>
        </w:rPr>
        <w:t>Taxes claimed as itemized deductions</w:t>
      </w:r>
      <w:r>
        <w:t>. Any taxes that are claimed as an itemized deduction (such as local property taxes) must be added back for determining AMTI.</w:t>
      </w:r>
      <w:r>
        <w:rPr>
          <w:rStyle w:val="EndnoteReference"/>
        </w:rPr>
        <w:endnoteReference w:id="30"/>
      </w:r>
      <w:r>
        <w:t xml:space="preserve"> A tax that is deducted as part of a trade or business (e.g. as a sole proprietor) is not an AMT adjustment. The taxes that must be added back include itemized deductions of state, local and foreign real estate taxes, state and local personal property taxes and state, local and foreign income taxes. If a taxpayer elects to deduct sales taxes instead of state and local income taxes, the full amount of the sales tax deduction must be added back in determining AMTI.</w:t>
      </w:r>
    </w:p>
    <w:p w:rsidR="006F68C5" w:rsidRPr="009F2C46" w:rsidRDefault="006F68C5" w:rsidP="006F68C5">
      <w:pPr>
        <w:pStyle w:val="List"/>
      </w:pPr>
      <w:r>
        <w:rPr>
          <w:i/>
        </w:rPr>
        <w:t>3.</w:t>
      </w:r>
      <w:r>
        <w:rPr>
          <w:i/>
        </w:rPr>
        <w:tab/>
      </w:r>
      <w:r w:rsidRPr="00863EAE">
        <w:rPr>
          <w:i/>
        </w:rPr>
        <w:t>Medical expenses</w:t>
      </w:r>
      <w:r>
        <w:t>. Medical expenses that exceed 7.5 percent of a taxpayer’s adjusted gross income are allowed as an itemized deduction if the taxpayer is over age sixty-five.</w:t>
      </w:r>
      <w:r>
        <w:rPr>
          <w:rStyle w:val="EndnoteReference"/>
        </w:rPr>
        <w:endnoteReference w:id="31"/>
      </w:r>
      <w:r>
        <w:t xml:space="preserve"> Beginning in 2013, taxpayers under age sixty-five may deduct medical expenses that exceed 10 percent of AGI. For the purpose of determining a taxpayer’s AMTI, medical expenses are only deductible if the expenses exceed 10 percent of the taxpayer’s AGI as computed for regular tax purposes.</w:t>
      </w:r>
      <w:r>
        <w:rPr>
          <w:rStyle w:val="EndnoteReference"/>
        </w:rPr>
        <w:endnoteReference w:id="32"/>
      </w:r>
    </w:p>
    <w:p w:rsidR="006F68C5" w:rsidRPr="00F7238A" w:rsidRDefault="006F68C5" w:rsidP="006F68C5">
      <w:pPr>
        <w:pStyle w:val="BodyTextIndent"/>
      </w:pPr>
      <w:r w:rsidRPr="00F7238A">
        <w:rPr>
          <w:i/>
        </w:rPr>
        <w:t>Example 1</w:t>
      </w:r>
      <w:r>
        <w:rPr>
          <w:i/>
        </w:rPr>
        <w:t>:</w:t>
      </w:r>
      <w:r w:rsidRPr="00F7238A">
        <w:t xml:space="preserve"> Sam Watson is seventy years old in 2014 and has adjusted gross income of $100,000 and medical expenses of $9,000. His deductible medical expense for regular tax purposes is $1,500 ($9,000 less 7.5 percent of $100,000). When computing AMTI, Sam must add back the entire $1,500 deduction since his medical expenses do not exceed 10 percent of his AGI ($10,000).</w:t>
      </w:r>
    </w:p>
    <w:p w:rsidR="00F51DEF" w:rsidRDefault="006F68C5" w:rsidP="006F68C5">
      <w:pPr>
        <w:pStyle w:val="BodyTextIndent"/>
      </w:pPr>
      <w:r w:rsidRPr="00F7238A">
        <w:rPr>
          <w:i/>
        </w:rPr>
        <w:t>Example 2</w:t>
      </w:r>
      <w:r>
        <w:rPr>
          <w:i/>
        </w:rPr>
        <w:t>:</w:t>
      </w:r>
      <w:r w:rsidRPr="00F7238A">
        <w:t xml:space="preserve"> Assume Sam’s medical expenses are $12,000 instead of $9,000. His regular tax dedu</w:t>
      </w:r>
      <w:r>
        <w:t>ction is $4,500 ($12,000 less 7.5 percent of $100,000</w:t>
      </w:r>
      <w:r w:rsidRPr="00F7238A">
        <w:t>). His AMT deduction is $2,000 ($12,000 less ten percent of $100,000). The difference of $2,500 is the positive AMT adjustment that must be made in order to determine his AMTI.</w:t>
      </w:r>
      <w:r w:rsidR="00F51DEF">
        <w:br w:type="page"/>
      </w:r>
    </w:p>
    <w:p w:rsidR="00F51DEF" w:rsidRDefault="00F51DEF" w:rsidP="00F51DEF">
      <w:pPr>
        <w:pStyle w:val="Title2"/>
      </w:pPr>
      <w:r>
        <w:lastRenderedPageBreak/>
        <w:t>Alternative Minimum Tax</w:t>
      </w:r>
    </w:p>
    <w:p w:rsidR="006F68C5" w:rsidRDefault="006F68C5" w:rsidP="006F68C5">
      <w:pPr>
        <w:pStyle w:val="List"/>
      </w:pPr>
      <w:r w:rsidRPr="00626D51">
        <w:t>4.</w:t>
      </w:r>
      <w:r>
        <w:rPr>
          <w:i/>
        </w:rPr>
        <w:tab/>
      </w:r>
      <w:r w:rsidRPr="006E6ECD">
        <w:rPr>
          <w:i/>
        </w:rPr>
        <w:t>Investment interest expenses.</w:t>
      </w:r>
      <w:r>
        <w:t xml:space="preserve"> Investment interest expense must be recomputed considering any adjustments or preference items that relate to total investment income or expense.</w:t>
      </w:r>
      <w:r>
        <w:rPr>
          <w:rStyle w:val="EndnoteReference"/>
        </w:rPr>
        <w:endnoteReference w:id="33"/>
      </w:r>
    </w:p>
    <w:p w:rsidR="006F68C5" w:rsidRDefault="006F68C5" w:rsidP="006F68C5">
      <w:pPr>
        <w:pStyle w:val="List"/>
      </w:pPr>
      <w:r w:rsidRPr="00626D51">
        <w:t>5.</w:t>
      </w:r>
      <w:r>
        <w:rPr>
          <w:i/>
        </w:rPr>
        <w:tab/>
      </w:r>
      <w:r w:rsidRPr="006E6ECD">
        <w:rPr>
          <w:i/>
        </w:rPr>
        <w:t>Mortgage interest</w:t>
      </w:r>
      <w:r>
        <w:t>. Home mortgage interest on indebtedness that was not incurred to acquire, construct or substantially improve the taxpayer’s principal residence or second home must be added back for computing AMTI.</w:t>
      </w:r>
      <w:r>
        <w:rPr>
          <w:rStyle w:val="EndnoteReference"/>
        </w:rPr>
        <w:endnoteReference w:id="34"/>
      </w:r>
      <w:r>
        <w:t xml:space="preserve"> This would include home equity indebtedness if the proceeds of the loan were not used in the manner described above. Refinancing of previously qualifying indebtedness is allowed, but only to the extent of the amount of the qualifying indebtedness immediately before the refinancing.</w:t>
      </w:r>
      <w:r>
        <w:rPr>
          <w:rStyle w:val="EndnoteReference"/>
        </w:rPr>
        <w:endnoteReference w:id="35"/>
      </w:r>
    </w:p>
    <w:p w:rsidR="006F68C5" w:rsidRDefault="006F68C5" w:rsidP="006F68C5">
      <w:pPr>
        <w:pStyle w:val="List"/>
      </w:pPr>
      <w:r w:rsidRPr="00626D51">
        <w:t>6.</w:t>
      </w:r>
      <w:r>
        <w:rPr>
          <w:i/>
        </w:rPr>
        <w:tab/>
      </w:r>
      <w:r w:rsidRPr="006E6ECD">
        <w:rPr>
          <w:i/>
        </w:rPr>
        <w:t>Refunds of taxes</w:t>
      </w:r>
      <w:r>
        <w:t>. Refunds of taxes that were AMT adjustments in previous years reduce AMTI in the year of receipt.</w:t>
      </w:r>
      <w:r>
        <w:rPr>
          <w:rStyle w:val="EndnoteReference"/>
        </w:rPr>
        <w:endnoteReference w:id="36"/>
      </w:r>
    </w:p>
    <w:p w:rsidR="006F68C5" w:rsidRDefault="006F68C5" w:rsidP="006F68C5">
      <w:pPr>
        <w:pStyle w:val="List"/>
      </w:pPr>
      <w:r w:rsidRPr="00626D51">
        <w:t>7.</w:t>
      </w:r>
      <w:r>
        <w:rPr>
          <w:i/>
        </w:rPr>
        <w:tab/>
      </w:r>
      <w:r w:rsidRPr="006E6ECD">
        <w:rPr>
          <w:i/>
        </w:rPr>
        <w:t>Standard deduction and personal exemptions</w:t>
      </w:r>
      <w:r>
        <w:t>. If the taxpayer’s taxable income was reduced by either the standard deduction or personal exemptions, these items must be added back for AMT purposes.</w:t>
      </w:r>
      <w:r>
        <w:rPr>
          <w:rStyle w:val="EndnoteReference"/>
        </w:rPr>
        <w:endnoteReference w:id="37"/>
      </w:r>
    </w:p>
    <w:p w:rsidR="006F68C5" w:rsidRDefault="006F68C5" w:rsidP="006F68C5">
      <w:pPr>
        <w:pStyle w:val="List"/>
      </w:pPr>
      <w:r w:rsidRPr="00626D51">
        <w:t>8.</w:t>
      </w:r>
      <w:r>
        <w:rPr>
          <w:i/>
        </w:rPr>
        <w:tab/>
      </w:r>
      <w:r w:rsidRPr="006E6ECD">
        <w:rPr>
          <w:i/>
        </w:rPr>
        <w:t xml:space="preserve">Incentive stock options (ISOs). </w:t>
      </w:r>
      <w:r>
        <w:t>Taxpayers may defer regular tax on income resulting from the exercise of an incentive stock option (ISO).</w:t>
      </w:r>
      <w:r>
        <w:rPr>
          <w:rStyle w:val="EndnoteReference"/>
        </w:rPr>
        <w:endnoteReference w:id="38"/>
      </w:r>
      <w:r>
        <w:t xml:space="preserve"> Unlike nonqualified stock options which are taxed to the extent of the value of the stock over the exercise cost, the taxation of an ISO occurs only when the stock acquired by exercise of the ISO is sold or otherwise disposed. At that time, the difference between the selling price and the amount paid for the stock when the ISO was exercised is taxed as a capital gain.</w:t>
      </w:r>
    </w:p>
    <w:p w:rsidR="006F68C5" w:rsidRDefault="006F68C5" w:rsidP="006F68C5">
      <w:pPr>
        <w:pStyle w:val="BodyTextIndent"/>
      </w:pPr>
      <w:r>
        <w:t>The deferral of the gain at the time of the exercise of the ISO does not apply if the taxpayer disposes of the stock within two years from the grant date of the ISO or within one year of the exercise date of the option.</w:t>
      </w:r>
      <w:r>
        <w:rPr>
          <w:rStyle w:val="EndnoteReference"/>
        </w:rPr>
        <w:endnoteReference w:id="39"/>
      </w:r>
    </w:p>
    <w:p w:rsidR="006F68C5" w:rsidRDefault="006F68C5" w:rsidP="006F68C5">
      <w:pPr>
        <w:pStyle w:val="BodyTextIndent"/>
      </w:pPr>
      <w:r>
        <w:t>For AMT purposes, the ISO does not receive the deferral treatment at the time of exercise. Instead the ISO is treated like a nonqualified stock option.</w:t>
      </w:r>
      <w:r>
        <w:rPr>
          <w:rStyle w:val="EndnoteReference"/>
        </w:rPr>
        <w:endnoteReference w:id="40"/>
      </w:r>
      <w:r>
        <w:t xml:space="preserve"> This means that the value of the stock acquired at the time of exercise in excess of the exercise cost creates a positive AMT adjustment in that year. Sizeable ISO exercises are a common reason for taxpayers to be subject to the AMT.</w:t>
      </w:r>
    </w:p>
    <w:p w:rsidR="00F51DEF" w:rsidRDefault="006F68C5" w:rsidP="006F68C5">
      <w:pPr>
        <w:pStyle w:val="BodyTextIndent"/>
      </w:pPr>
      <w:r>
        <w:t xml:space="preserve">Taxpayers who exercise ISOs must keep accurate records of the basis of their stock. For regular tax purposes, the basis will equal their exercise cost plus any transaction costs. For AMT purposes, the basis will equal the value of the stock on the date of exercise plus any transaction costs. When the stock acquired by ISO is ultimately sold, the taxpayer will reduce the AMTI in that year by the amount of the </w:t>
      </w:r>
      <w:proofErr w:type="spellStart"/>
      <w:r>
        <w:t>basis</w:t>
      </w:r>
      <w:proofErr w:type="spellEnd"/>
      <w:r>
        <w:t xml:space="preserve"> difference.</w:t>
      </w:r>
      <w:r w:rsidR="00F51DEF">
        <w:br w:type="page"/>
      </w:r>
    </w:p>
    <w:p w:rsidR="00F51DEF" w:rsidRDefault="00F51DEF" w:rsidP="00F51DEF">
      <w:pPr>
        <w:pStyle w:val="Title2"/>
      </w:pPr>
      <w:r>
        <w:lastRenderedPageBreak/>
        <w:t>Alternative Minimum Tax</w:t>
      </w:r>
    </w:p>
    <w:p w:rsidR="006F68C5" w:rsidRDefault="006F68C5" w:rsidP="006F68C5">
      <w:pPr>
        <w:pStyle w:val="BodyTextIndent"/>
      </w:pPr>
      <w:r>
        <w:rPr>
          <w:i/>
        </w:rPr>
        <w:t>Example:</w:t>
      </w:r>
      <w:r>
        <w:t xml:space="preserve"> Ron Gardner exercised 1,000 ISOs of his employer, WWW, Inc. The exercise cost was $10 per option and at the time of the exercise, the stock was trading at $75 per share. Ron pays the company $10,000 and, in return, receives stock valued at $75,000. For regular tax purposes, Ron reports no income. However, he has a positive AMT adjustment of $65,000 ($75,000 - $10,000) in the year of exercise.</w:t>
      </w:r>
    </w:p>
    <w:p w:rsidR="006F68C5" w:rsidRDefault="006F68C5" w:rsidP="006F68C5">
      <w:pPr>
        <w:pStyle w:val="BodyTextIndent"/>
      </w:pPr>
      <w:r>
        <w:t xml:space="preserve">Three years later, Ron decides to sell 500 shares when the stock is trading at $100 per share. He will report a long-term capital gain for regular tax purposes of $45,000 ($50,000 in sale proceeds less the $5,000 basis). </w:t>
      </w:r>
    </w:p>
    <w:p w:rsidR="006F68C5" w:rsidRDefault="006F68C5" w:rsidP="006F68C5">
      <w:pPr>
        <w:pStyle w:val="BodyTextIndent"/>
      </w:pPr>
      <w:r>
        <w:t>For AMT purposes, his gain is only $12,500. While he has $50,000 in cash proceeds, $32,500 (half of the $65,000 AMT adjustment three years ago) of that amount was subject to AMT three years ago. In order to prevent double AMT taxation, the $32,500 will be reported as a negative AMT adjustment (entered as an adjusted gain or loss on Form 6251) in the year of the sale.</w:t>
      </w:r>
    </w:p>
    <w:p w:rsidR="006F68C5" w:rsidRDefault="006F68C5" w:rsidP="006F68C5">
      <w:pPr>
        <w:pStyle w:val="List"/>
      </w:pPr>
      <w:r w:rsidRPr="00626D51">
        <w:t>9</w:t>
      </w:r>
      <w:r>
        <w:rPr>
          <w:i/>
        </w:rPr>
        <w:t>.</w:t>
      </w:r>
      <w:r>
        <w:rPr>
          <w:i/>
        </w:rPr>
        <w:tab/>
      </w:r>
      <w:r w:rsidRPr="006E6ECD">
        <w:rPr>
          <w:i/>
        </w:rPr>
        <w:t xml:space="preserve">AMT adjustments from pass-through entities. </w:t>
      </w:r>
      <w:r>
        <w:t>Pass-through entities are required to separately identify amounts that adjustments for AMT purposes for their investors. For this reason, it is very common to find AMT adjustments for depreciation reported on an investor’s Schedule K-1.</w:t>
      </w:r>
    </w:p>
    <w:p w:rsidR="006F68C5" w:rsidRDefault="006F68C5" w:rsidP="006F68C5">
      <w:pPr>
        <w:pStyle w:val="BodyTextIndent"/>
      </w:pPr>
      <w:r>
        <w:t>Pass</w:t>
      </w:r>
      <w:r w:rsidRPr="006F68C5">
        <w:t>i</w:t>
      </w:r>
      <w:r>
        <w:t>ve activity rules are separately applied for AMT purposes. If the net income or loss from passive activities as adjusted by any AMT items is different than the net passive activity income or loss for regular tax purposes, the difference is reported as an adjustment to AMTI.</w:t>
      </w:r>
      <w:r>
        <w:rPr>
          <w:rStyle w:val="EndnoteReference"/>
        </w:rPr>
        <w:endnoteReference w:id="41"/>
      </w:r>
    </w:p>
    <w:p w:rsidR="006F68C5" w:rsidRDefault="006F68C5" w:rsidP="00F51DEF">
      <w:pPr>
        <w:pStyle w:val="NUHeading2"/>
      </w:pPr>
      <w:r>
        <w:t>Corporate Adjustments</w:t>
      </w:r>
    </w:p>
    <w:p w:rsidR="006F68C5" w:rsidRDefault="006F68C5" w:rsidP="006F68C5">
      <w:pPr>
        <w:pStyle w:val="Body"/>
      </w:pPr>
      <w:r>
        <w:t>The following adjustments must be made to a corporation’s taxable income:</w:t>
      </w:r>
    </w:p>
    <w:p w:rsidR="006F68C5" w:rsidRDefault="006F68C5" w:rsidP="006F68C5">
      <w:pPr>
        <w:pStyle w:val="List"/>
      </w:pPr>
      <w:r>
        <w:t>1.</w:t>
      </w:r>
      <w:r>
        <w:tab/>
        <w:t>A corporation must make an adjustment to its taxable income based on its “adjusted current earnings” (ACE).</w:t>
      </w:r>
      <w:r>
        <w:rPr>
          <w:rStyle w:val="EndnoteReference"/>
        </w:rPr>
        <w:endnoteReference w:id="42"/>
      </w:r>
      <w:r>
        <w:t xml:space="preserve"> ACE computations are explained in detail below.</w:t>
      </w:r>
    </w:p>
    <w:p w:rsidR="00F51DEF" w:rsidRDefault="006F68C5" w:rsidP="006F68C5">
      <w:pPr>
        <w:pStyle w:val="List"/>
      </w:pPr>
      <w:r>
        <w:t>2.</w:t>
      </w:r>
      <w:r>
        <w:tab/>
        <w:t>The charitable contributions limitation for individuals is determined based upon the taxpayer’s adjusted gross income for both regular tax and AMT purposes.</w:t>
      </w:r>
      <w:r>
        <w:rPr>
          <w:rStyle w:val="EndnoteReference"/>
        </w:rPr>
        <w:endnoteReference w:id="43"/>
      </w:r>
      <w:r>
        <w:t xml:space="preserve"> However, corporations must re-determine their allowable charitable contribution for AMT purposes based upon the corporation’s AMTI, without respect to this adjustment.</w:t>
      </w:r>
      <w:r>
        <w:rPr>
          <w:rStyle w:val="EndnoteReference"/>
        </w:rPr>
        <w:endnoteReference w:id="44"/>
      </w:r>
      <w:r>
        <w:t xml:space="preserve"> In fact, the instructions to Form 4626 require that this computation and adjustment be made if necessary.</w:t>
      </w:r>
      <w:r w:rsidR="00F51DEF">
        <w:br w:type="page"/>
      </w:r>
    </w:p>
    <w:p w:rsidR="006F68C5" w:rsidRPr="00DE4D2B" w:rsidRDefault="00F51DEF" w:rsidP="00091E9B">
      <w:pPr>
        <w:pStyle w:val="Title2"/>
      </w:pPr>
      <w:r>
        <w:lastRenderedPageBreak/>
        <w:t>Alternative Minimum Tax</w:t>
      </w:r>
    </w:p>
    <w:p w:rsidR="006F68C5" w:rsidRDefault="006F68C5" w:rsidP="006F68C5">
      <w:pPr>
        <w:pStyle w:val="Body"/>
      </w:pPr>
      <w:r>
        <w:t>When calculating AMT, corporations must make an adjustment based on adjusted current earnings (“ACE”). ACE is defined as the AMTI for the taxable year determined with its own set of “ACE adjustments” and without the alternative tax net operating loss deduction.</w:t>
      </w:r>
      <w:r>
        <w:rPr>
          <w:rStyle w:val="EndnoteReference"/>
        </w:rPr>
        <w:endnoteReference w:id="45"/>
      </w:r>
    </w:p>
    <w:p w:rsidR="006F68C5" w:rsidRDefault="006F68C5" w:rsidP="006F68C5">
      <w:pPr>
        <w:pStyle w:val="Body"/>
      </w:pPr>
      <w:r>
        <w:t>The adjustments that must be made to determine a corporation’s ACE are:</w:t>
      </w:r>
    </w:p>
    <w:p w:rsidR="006F68C5" w:rsidRPr="00D96AED" w:rsidRDefault="006F68C5" w:rsidP="006F68C5">
      <w:pPr>
        <w:pStyle w:val="List"/>
      </w:pPr>
      <w:r>
        <w:t>1.</w:t>
      </w:r>
      <w:r>
        <w:tab/>
        <w:t>Depreciation must be recomputed for ACE using a special set of rules for allowable method and recovery period.</w:t>
      </w:r>
      <w:r>
        <w:rPr>
          <w:rStyle w:val="EndnoteReference"/>
        </w:rPr>
        <w:endnoteReference w:id="46"/>
      </w:r>
      <w:r>
        <w:t xml:space="preserve"> This creates a third set of depreciation calculations on the same assets – one for regular tax, one for AMT and now one for ACE. An asset’s placed in service date determines how the asset is treated for ACE.</w:t>
      </w:r>
      <w:r>
        <w:rPr>
          <w:rStyle w:val="EndnoteReference"/>
        </w:rPr>
        <w:endnoteReference w:id="47"/>
      </w:r>
      <w:r>
        <w:t xml:space="preserve"> The adjustment applies to assets placed in service after 1989 – however, assets in service as of 1989 also need an ACE calculation.</w:t>
      </w:r>
      <w:r>
        <w:rPr>
          <w:rStyle w:val="EndnoteReference"/>
        </w:rPr>
        <w:endnoteReference w:id="48"/>
      </w:r>
    </w:p>
    <w:p w:rsidR="006F68C5" w:rsidRDefault="006F68C5" w:rsidP="006F68C5">
      <w:pPr>
        <w:pStyle w:val="BodyTextIndent"/>
      </w:pPr>
      <w:r>
        <w:t>The following table is a summary of how assets are depreciated under the ACE rules:</w:t>
      </w:r>
    </w:p>
    <w:tbl>
      <w:tblPr>
        <w:tblStyle w:val="NewStyle2014"/>
        <w:tblW w:w="0" w:type="auto"/>
        <w:tblLook w:val="04A0" w:firstRow="1" w:lastRow="0" w:firstColumn="1" w:lastColumn="0" w:noHBand="0" w:noVBand="1"/>
      </w:tblPr>
      <w:tblGrid>
        <w:gridCol w:w="3778"/>
        <w:gridCol w:w="3609"/>
      </w:tblGrid>
      <w:tr w:rsidR="006F68C5" w:rsidRPr="00ED117B" w:rsidTr="00F51DEF">
        <w:trPr>
          <w:cnfStyle w:val="100000000000" w:firstRow="1" w:lastRow="0" w:firstColumn="0" w:lastColumn="0" w:oddVBand="0" w:evenVBand="0" w:oddHBand="0"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778" w:type="dxa"/>
          </w:tcPr>
          <w:p w:rsidR="006F68C5" w:rsidRPr="00740603" w:rsidRDefault="006F68C5" w:rsidP="00F51DEF">
            <w:pPr>
              <w:pStyle w:val="TableHead1"/>
              <w:spacing w:line="264" w:lineRule="auto"/>
            </w:pPr>
            <w:r w:rsidRPr="00740603">
              <w:t>Placed in Service Date</w:t>
            </w:r>
          </w:p>
        </w:tc>
        <w:tc>
          <w:tcPr>
            <w:tcW w:w="3609" w:type="dxa"/>
          </w:tcPr>
          <w:p w:rsidR="006F68C5" w:rsidRPr="00740603" w:rsidRDefault="006F68C5" w:rsidP="00F51DEF">
            <w:pPr>
              <w:pStyle w:val="TableHead1"/>
              <w:spacing w:line="264" w:lineRule="auto"/>
              <w:cnfStyle w:val="100000000000" w:firstRow="1" w:lastRow="0" w:firstColumn="0" w:lastColumn="0" w:oddVBand="0" w:evenVBand="0" w:oddHBand="0" w:evenHBand="0" w:firstRowFirstColumn="0" w:firstRowLastColumn="0" w:lastRowFirstColumn="0" w:lastRowLastColumn="0"/>
            </w:pPr>
            <w:r w:rsidRPr="00740603">
              <w:t>ACE Depreciation Treatment</w:t>
            </w:r>
          </w:p>
        </w:tc>
      </w:tr>
      <w:tr w:rsidR="006F68C5" w:rsidRPr="00ED117B" w:rsidTr="00F51DEF">
        <w:trPr>
          <w:cnfStyle w:val="000000100000" w:firstRow="0" w:lastRow="0" w:firstColumn="0" w:lastColumn="0" w:oddVBand="0" w:evenVBand="0" w:oddHBand="1" w:evenHBand="0" w:firstRowFirstColumn="0" w:firstRowLastColumn="0" w:lastRowFirstColumn="0" w:lastRowLastColumn="0"/>
          <w:trHeight w:val="1670"/>
        </w:trPr>
        <w:tc>
          <w:tcPr>
            <w:cnfStyle w:val="001000000000" w:firstRow="0" w:lastRow="0" w:firstColumn="1" w:lastColumn="0" w:oddVBand="0" w:evenVBand="0" w:oddHBand="0" w:evenHBand="0" w:firstRowFirstColumn="0" w:firstRowLastColumn="0" w:lastRowFirstColumn="0" w:lastRowLastColumn="0"/>
            <w:tcW w:w="3778" w:type="dxa"/>
          </w:tcPr>
          <w:p w:rsidR="006F68C5" w:rsidRPr="006F68C5" w:rsidRDefault="006F68C5" w:rsidP="00F51DEF">
            <w:pPr>
              <w:pStyle w:val="TableBody"/>
              <w:spacing w:line="264" w:lineRule="auto"/>
              <w:rPr>
                <w:b/>
              </w:rPr>
            </w:pPr>
            <w:r w:rsidRPr="006F68C5">
              <w:rPr>
                <w:b/>
              </w:rPr>
              <w:t>Taxable year beginning before 1990</w:t>
            </w:r>
          </w:p>
          <w:p w:rsidR="006F68C5" w:rsidRPr="006F68C5" w:rsidRDefault="006F68C5" w:rsidP="00F51DEF">
            <w:pPr>
              <w:pStyle w:val="TableBody"/>
              <w:spacing w:line="264" w:lineRule="auto"/>
              <w:rPr>
                <w:b/>
              </w:rPr>
            </w:pPr>
            <w:r w:rsidRPr="006F68C5">
              <w:rPr>
                <w:b/>
              </w:rPr>
              <w:t>(MACRS Assets)</w:t>
            </w:r>
          </w:p>
        </w:tc>
        <w:tc>
          <w:tcPr>
            <w:tcW w:w="3609" w:type="dxa"/>
          </w:tcPr>
          <w:p w:rsidR="006F68C5" w:rsidRPr="00ED117B" w:rsidRDefault="006F68C5" w:rsidP="00F51DEF">
            <w:pPr>
              <w:pStyle w:val="TableBody"/>
              <w:spacing w:line="264" w:lineRule="auto"/>
              <w:cnfStyle w:val="000000100000" w:firstRow="0" w:lastRow="0" w:firstColumn="0" w:lastColumn="0" w:oddVBand="0" w:evenVBand="0" w:oddHBand="1" w:evenHBand="0" w:firstRowFirstColumn="0" w:firstRowLastColumn="0" w:lastRowFirstColumn="0" w:lastRowLastColumn="0"/>
            </w:pPr>
            <w:r w:rsidRPr="00ED117B">
              <w:t>Basis for ACE depreciation begins with AMT basis as of the close of the last year</w:t>
            </w:r>
            <w:r>
              <w:t xml:space="preserve"> </w:t>
            </w:r>
            <w:r w:rsidRPr="00ED117B">
              <w:t>before 1990. Depreciate using straight</w:t>
            </w:r>
            <w:r>
              <w:t xml:space="preserve"> </w:t>
            </w:r>
            <w:r w:rsidRPr="00ED117B">
              <w:t>line method over the remainder of the</w:t>
            </w:r>
            <w:r>
              <w:t xml:space="preserve"> </w:t>
            </w:r>
            <w:r w:rsidRPr="00ED117B">
              <w:t>property’s recovery period as determined under the alternative</w:t>
            </w:r>
          </w:p>
          <w:p w:rsidR="006F68C5" w:rsidRPr="00ED117B" w:rsidRDefault="006F68C5" w:rsidP="00F51DEF">
            <w:pPr>
              <w:pStyle w:val="TableBody"/>
              <w:spacing w:line="264" w:lineRule="auto"/>
              <w:cnfStyle w:val="000000100000" w:firstRow="0" w:lastRow="0" w:firstColumn="0" w:lastColumn="0" w:oddVBand="0" w:evenVBand="0" w:oddHBand="1" w:evenHBand="0" w:firstRowFirstColumn="0" w:firstRowLastColumn="0" w:lastRowFirstColumn="0" w:lastRowLastColumn="0"/>
            </w:pPr>
            <w:proofErr w:type="gramStart"/>
            <w:r w:rsidRPr="00ED117B">
              <w:t>depreciation</w:t>
            </w:r>
            <w:proofErr w:type="gramEnd"/>
            <w:r w:rsidRPr="00ED117B">
              <w:t xml:space="preserve"> system.</w:t>
            </w:r>
            <w:r w:rsidRPr="00740603">
              <w:rPr>
                <w:vertAlign w:val="superscript"/>
              </w:rPr>
              <w:t xml:space="preserve"> 75</w:t>
            </w:r>
          </w:p>
        </w:tc>
      </w:tr>
      <w:tr w:rsidR="006F68C5" w:rsidRPr="00ED117B" w:rsidTr="00F51DEF">
        <w:trPr>
          <w:cnfStyle w:val="000000010000" w:firstRow="0" w:lastRow="0" w:firstColumn="0" w:lastColumn="0" w:oddVBand="0" w:evenVBand="0" w:oddHBand="0" w:evenHBand="1" w:firstRowFirstColumn="0" w:firstRowLastColumn="0" w:lastRowFirstColumn="0" w:lastRowLastColumn="0"/>
          <w:trHeight w:val="1601"/>
        </w:trPr>
        <w:tc>
          <w:tcPr>
            <w:cnfStyle w:val="001000000000" w:firstRow="0" w:lastRow="0" w:firstColumn="1" w:lastColumn="0" w:oddVBand="0" w:evenVBand="0" w:oddHBand="0" w:evenHBand="0" w:firstRowFirstColumn="0" w:firstRowLastColumn="0" w:lastRowFirstColumn="0" w:lastRowLastColumn="0"/>
            <w:tcW w:w="3778" w:type="dxa"/>
          </w:tcPr>
          <w:p w:rsidR="006F68C5" w:rsidRPr="006F68C5" w:rsidRDefault="006F68C5" w:rsidP="00F51DEF">
            <w:pPr>
              <w:pStyle w:val="TableBody"/>
              <w:spacing w:line="264" w:lineRule="auto"/>
              <w:rPr>
                <w:b/>
              </w:rPr>
            </w:pPr>
            <w:r w:rsidRPr="006F68C5">
              <w:rPr>
                <w:b/>
              </w:rPr>
              <w:t>Taxable year beginning before 1990</w:t>
            </w:r>
          </w:p>
          <w:p w:rsidR="006F68C5" w:rsidRPr="006F68C5" w:rsidRDefault="006F68C5" w:rsidP="00F51DEF">
            <w:pPr>
              <w:pStyle w:val="TableBody"/>
              <w:spacing w:line="264" w:lineRule="auto"/>
              <w:rPr>
                <w:b/>
              </w:rPr>
            </w:pPr>
            <w:r w:rsidRPr="006F68C5">
              <w:rPr>
                <w:b/>
              </w:rPr>
              <w:t>(ACRS Assets)</w:t>
            </w:r>
          </w:p>
        </w:tc>
        <w:tc>
          <w:tcPr>
            <w:tcW w:w="3609" w:type="dxa"/>
          </w:tcPr>
          <w:p w:rsidR="006F68C5" w:rsidRPr="00ED117B" w:rsidRDefault="006F68C5" w:rsidP="00F51DEF">
            <w:pPr>
              <w:pStyle w:val="TableBody"/>
              <w:spacing w:line="264" w:lineRule="auto"/>
              <w:cnfStyle w:val="000000010000" w:firstRow="0" w:lastRow="0" w:firstColumn="0" w:lastColumn="0" w:oddVBand="0" w:evenVBand="0" w:oddHBand="0" w:evenHBand="1" w:firstRowFirstColumn="0" w:firstRowLastColumn="0" w:lastRowFirstColumn="0" w:lastRowLastColumn="0"/>
            </w:pPr>
            <w:r w:rsidRPr="00ED117B">
              <w:t>Basis for ACE depreciation begins</w:t>
            </w:r>
          </w:p>
          <w:p w:rsidR="006F68C5" w:rsidRPr="00ED117B" w:rsidRDefault="006F68C5" w:rsidP="00F51DEF">
            <w:pPr>
              <w:pStyle w:val="TableBody"/>
              <w:spacing w:line="264" w:lineRule="auto"/>
              <w:cnfStyle w:val="000000010000" w:firstRow="0" w:lastRow="0" w:firstColumn="0" w:lastColumn="0" w:oddVBand="0" w:evenVBand="0" w:oddHBand="0" w:evenHBand="1" w:firstRowFirstColumn="0" w:firstRowLastColumn="0" w:lastRowFirstColumn="0" w:lastRowLastColumn="0"/>
            </w:pPr>
            <w:r w:rsidRPr="00ED117B">
              <w:t>with regular tax basis as of the close</w:t>
            </w:r>
          </w:p>
          <w:p w:rsidR="006F68C5" w:rsidRPr="00ED117B" w:rsidRDefault="006F68C5" w:rsidP="00F51DEF">
            <w:pPr>
              <w:pStyle w:val="TableBody"/>
              <w:spacing w:line="264" w:lineRule="auto"/>
              <w:cnfStyle w:val="000000010000" w:firstRow="0" w:lastRow="0" w:firstColumn="0" w:lastColumn="0" w:oddVBand="0" w:evenVBand="0" w:oddHBand="0" w:evenHBand="1" w:firstRowFirstColumn="0" w:firstRowLastColumn="0" w:lastRowFirstColumn="0" w:lastRowLastColumn="0"/>
            </w:pPr>
            <w:proofErr w:type="gramStart"/>
            <w:r w:rsidRPr="00ED117B">
              <w:t>of</w:t>
            </w:r>
            <w:proofErr w:type="gramEnd"/>
            <w:r w:rsidRPr="00ED117B">
              <w:t xml:space="preserve"> the last year before 1990. Depreciate</w:t>
            </w:r>
            <w:r>
              <w:t xml:space="preserve"> </w:t>
            </w:r>
            <w:r w:rsidRPr="00ED117B">
              <w:t>using straight line method over the remainder of the property’s recovery</w:t>
            </w:r>
            <w:r>
              <w:t xml:space="preserve"> </w:t>
            </w:r>
            <w:r w:rsidRPr="00ED117B">
              <w:t>period as determined under the alternative</w:t>
            </w:r>
            <w:r>
              <w:t xml:space="preserve"> </w:t>
            </w:r>
            <w:r w:rsidRPr="00ED117B">
              <w:t>depreciation system.</w:t>
            </w:r>
            <w:r w:rsidRPr="00740603">
              <w:rPr>
                <w:vertAlign w:val="superscript"/>
              </w:rPr>
              <w:t xml:space="preserve"> 76</w:t>
            </w:r>
          </w:p>
        </w:tc>
      </w:tr>
      <w:tr w:rsidR="006F68C5" w:rsidRPr="00ED117B" w:rsidTr="00F51DEF">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778" w:type="dxa"/>
          </w:tcPr>
          <w:p w:rsidR="006F68C5" w:rsidRPr="006F68C5" w:rsidRDefault="006F68C5" w:rsidP="00F51DEF">
            <w:pPr>
              <w:pStyle w:val="TableBody"/>
              <w:spacing w:line="264" w:lineRule="auto"/>
              <w:rPr>
                <w:b/>
              </w:rPr>
            </w:pPr>
            <w:r w:rsidRPr="006F68C5">
              <w:rPr>
                <w:b/>
              </w:rPr>
              <w:t>Taxable year beginning before 1990</w:t>
            </w:r>
          </w:p>
          <w:p w:rsidR="006F68C5" w:rsidRPr="006F68C5" w:rsidRDefault="006F68C5" w:rsidP="00F51DEF">
            <w:pPr>
              <w:pStyle w:val="TableBody"/>
              <w:spacing w:line="264" w:lineRule="auto"/>
              <w:rPr>
                <w:b/>
              </w:rPr>
            </w:pPr>
            <w:r w:rsidRPr="006F68C5">
              <w:rPr>
                <w:b/>
              </w:rPr>
              <w:t>(non-MACRS and ACRS Assets)</w:t>
            </w:r>
          </w:p>
        </w:tc>
        <w:tc>
          <w:tcPr>
            <w:tcW w:w="3609" w:type="dxa"/>
          </w:tcPr>
          <w:p w:rsidR="006F68C5" w:rsidRPr="00ED117B" w:rsidRDefault="006F68C5" w:rsidP="00F51DEF">
            <w:pPr>
              <w:pStyle w:val="TableBody"/>
              <w:spacing w:line="264" w:lineRule="auto"/>
              <w:cnfStyle w:val="000000100000" w:firstRow="0" w:lastRow="0" w:firstColumn="0" w:lastColumn="0" w:oddVBand="0" w:evenVBand="0" w:oddHBand="1" w:evenHBand="0" w:firstRowFirstColumn="0" w:firstRowLastColumn="0" w:lastRowFirstColumn="0" w:lastRowLastColumn="0"/>
            </w:pPr>
            <w:r w:rsidRPr="00ED117B">
              <w:t>No adjustments for ACE required.</w:t>
            </w:r>
            <w:r w:rsidRPr="00740603">
              <w:rPr>
                <w:vertAlign w:val="superscript"/>
              </w:rPr>
              <w:t xml:space="preserve"> 77</w:t>
            </w:r>
          </w:p>
        </w:tc>
      </w:tr>
      <w:tr w:rsidR="006F68C5" w:rsidRPr="00ED117B" w:rsidTr="00F51DEF">
        <w:trPr>
          <w:cnfStyle w:val="000000010000" w:firstRow="0" w:lastRow="0" w:firstColumn="0" w:lastColumn="0" w:oddVBand="0" w:evenVBand="0" w:oddHBand="0" w:evenHBand="1" w:firstRowFirstColumn="0" w:firstRowLastColumn="0" w:lastRowFirstColumn="0" w:lastRowLastColumn="0"/>
          <w:trHeight w:val="920"/>
        </w:trPr>
        <w:tc>
          <w:tcPr>
            <w:cnfStyle w:val="001000000000" w:firstRow="0" w:lastRow="0" w:firstColumn="1" w:lastColumn="0" w:oddVBand="0" w:evenVBand="0" w:oddHBand="0" w:evenHBand="0" w:firstRowFirstColumn="0" w:firstRowLastColumn="0" w:lastRowFirstColumn="0" w:lastRowLastColumn="0"/>
            <w:tcW w:w="3778" w:type="dxa"/>
          </w:tcPr>
          <w:p w:rsidR="006F68C5" w:rsidRPr="006F68C5" w:rsidRDefault="006F68C5" w:rsidP="00F51DEF">
            <w:pPr>
              <w:pStyle w:val="TableBody"/>
              <w:spacing w:line="264" w:lineRule="auto"/>
              <w:rPr>
                <w:b/>
              </w:rPr>
            </w:pPr>
            <w:r w:rsidRPr="006F68C5">
              <w:rPr>
                <w:b/>
              </w:rPr>
              <w:t>Taxable year beginning after 1989</w:t>
            </w:r>
          </w:p>
          <w:p w:rsidR="006F68C5" w:rsidRPr="006F68C5" w:rsidRDefault="006F68C5" w:rsidP="00F51DEF">
            <w:pPr>
              <w:pStyle w:val="TableBody"/>
              <w:spacing w:line="264" w:lineRule="auto"/>
              <w:rPr>
                <w:b/>
              </w:rPr>
            </w:pPr>
            <w:r w:rsidRPr="006F68C5">
              <w:rPr>
                <w:b/>
              </w:rPr>
              <w:t>And on or before December 31, 1993</w:t>
            </w:r>
          </w:p>
        </w:tc>
        <w:tc>
          <w:tcPr>
            <w:tcW w:w="3609" w:type="dxa"/>
          </w:tcPr>
          <w:p w:rsidR="006F68C5" w:rsidRPr="00ED117B" w:rsidRDefault="006F68C5" w:rsidP="00F51DEF">
            <w:pPr>
              <w:pStyle w:val="TableBody"/>
              <w:spacing w:line="264" w:lineRule="auto"/>
              <w:cnfStyle w:val="000000010000" w:firstRow="0" w:lastRow="0" w:firstColumn="0" w:lastColumn="0" w:oddVBand="0" w:evenVBand="0" w:oddHBand="0" w:evenHBand="1" w:firstRowFirstColumn="0" w:firstRowLastColumn="0" w:lastRowFirstColumn="0" w:lastRowLastColumn="0"/>
            </w:pPr>
            <w:r w:rsidRPr="00ED117B">
              <w:t>Straight-line recovery over the property’s</w:t>
            </w:r>
            <w:r>
              <w:t xml:space="preserve"> </w:t>
            </w:r>
            <w:r w:rsidRPr="00ED117B">
              <w:t>recovery period as determined under</w:t>
            </w:r>
            <w:r>
              <w:t xml:space="preserve"> </w:t>
            </w:r>
            <w:r w:rsidRPr="00ED117B">
              <w:t>the alternative depreciation system.</w:t>
            </w:r>
            <w:r w:rsidRPr="00740603">
              <w:rPr>
                <w:vertAlign w:val="superscript"/>
              </w:rPr>
              <w:t xml:space="preserve"> 78</w:t>
            </w:r>
          </w:p>
        </w:tc>
      </w:tr>
      <w:tr w:rsidR="006F68C5" w:rsidRPr="00ED117B" w:rsidTr="00F51DEF">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778" w:type="dxa"/>
          </w:tcPr>
          <w:p w:rsidR="006F68C5" w:rsidRPr="006F68C5" w:rsidRDefault="006F68C5" w:rsidP="00F51DEF">
            <w:pPr>
              <w:pStyle w:val="TableBody"/>
              <w:spacing w:line="264" w:lineRule="auto"/>
              <w:rPr>
                <w:b/>
              </w:rPr>
            </w:pPr>
          </w:p>
        </w:tc>
        <w:tc>
          <w:tcPr>
            <w:tcW w:w="3609" w:type="dxa"/>
          </w:tcPr>
          <w:p w:rsidR="006F68C5" w:rsidRPr="00ED117B" w:rsidRDefault="006F68C5" w:rsidP="00F51DEF">
            <w:pPr>
              <w:pStyle w:val="TableBody"/>
              <w:spacing w:line="264" w:lineRule="auto"/>
              <w:cnfStyle w:val="000000100000" w:firstRow="0" w:lastRow="0" w:firstColumn="0" w:lastColumn="0" w:oddVBand="0" w:evenVBand="0" w:oddHBand="1" w:evenHBand="0" w:firstRowFirstColumn="0" w:firstRowLastColumn="0" w:lastRowFirstColumn="0" w:lastRowLastColumn="0"/>
            </w:pPr>
          </w:p>
        </w:tc>
      </w:tr>
    </w:tbl>
    <w:p w:rsidR="00F51DEF" w:rsidRDefault="00F51DEF" w:rsidP="006F68C5">
      <w:pPr>
        <w:rPr>
          <w:b/>
          <w:sz w:val="22"/>
        </w:rPr>
      </w:pPr>
      <w:r>
        <w:rPr>
          <w:b/>
          <w:sz w:val="22"/>
        </w:rPr>
        <w:br w:type="page"/>
      </w:r>
    </w:p>
    <w:p w:rsidR="00F51DEF" w:rsidRDefault="00F51DEF" w:rsidP="00F51DEF">
      <w:pPr>
        <w:pStyle w:val="Title2"/>
      </w:pPr>
      <w:r>
        <w:lastRenderedPageBreak/>
        <w:t>Alternative Minimum Tax</w:t>
      </w:r>
    </w:p>
    <w:p w:rsidR="006F68C5" w:rsidRDefault="006F68C5" w:rsidP="006F68C5">
      <w:pPr>
        <w:pStyle w:val="List"/>
      </w:pPr>
      <w:r>
        <w:t>2.</w:t>
      </w:r>
      <w:r>
        <w:tab/>
        <w:t>The second ACE adjustment is for items that are included in the determination of a corporation’s earnings and profits (E&amp;P) but are excluded from AMTI.</w:t>
      </w:r>
      <w:r>
        <w:rPr>
          <w:rStyle w:val="EndnoteReference"/>
        </w:rPr>
        <w:endnoteReference w:id="49"/>
      </w:r>
      <w:r>
        <w:t xml:space="preserve"> The amount of any item that is included as an adjustment may be offset by any deduction which would have been allowable in computing AMTI if the amount were included in gross income.</w:t>
      </w:r>
      <w:r>
        <w:rPr>
          <w:rStyle w:val="EndnoteReference"/>
        </w:rPr>
        <w:endnoteReference w:id="50"/>
      </w:r>
    </w:p>
    <w:p w:rsidR="006F68C5" w:rsidRDefault="006F68C5" w:rsidP="006F68C5">
      <w:pPr>
        <w:pStyle w:val="BodyTextIndent"/>
      </w:pPr>
      <w:r>
        <w:t>The ACE worksheet included in the instructions to Form 4626 contains a list of the most common E&amp;P adjustments, such as:</w:t>
      </w:r>
    </w:p>
    <w:p w:rsidR="006F68C5" w:rsidRPr="006F68C5" w:rsidRDefault="006F68C5" w:rsidP="006F68C5">
      <w:pPr>
        <w:pStyle w:val="BodyTextIndent"/>
        <w:rPr>
          <w:i/>
          <w:u w:val="single"/>
        </w:rPr>
      </w:pPr>
      <w:r w:rsidRPr="006F68C5">
        <w:rPr>
          <w:i/>
          <w:u w:val="single"/>
        </w:rPr>
        <w:t>Includible Items:</w:t>
      </w:r>
    </w:p>
    <w:p w:rsidR="006F68C5" w:rsidRDefault="006F68C5" w:rsidP="006F68C5">
      <w:pPr>
        <w:pStyle w:val="List3"/>
      </w:pPr>
      <w:r>
        <w:t>a.</w:t>
      </w:r>
      <w:r>
        <w:tab/>
        <w:t>Tax-exempt interest excluded under Code Section 103.</w:t>
      </w:r>
    </w:p>
    <w:p w:rsidR="006F68C5" w:rsidRDefault="006F68C5" w:rsidP="006F68C5">
      <w:pPr>
        <w:pStyle w:val="List3"/>
      </w:pPr>
      <w:r>
        <w:t>b.</w:t>
      </w:r>
      <w:r>
        <w:tab/>
        <w:t>Death benefits from life insurance contracts excluded under Code Section 101 (adjusted by the corporation’s basis in the life insurance contract).</w:t>
      </w:r>
    </w:p>
    <w:p w:rsidR="006F68C5" w:rsidRDefault="006F68C5" w:rsidP="006F68C5">
      <w:pPr>
        <w:pStyle w:val="List3"/>
      </w:pPr>
      <w:r>
        <w:t>c.</w:t>
      </w:r>
      <w:r>
        <w:tab/>
        <w:t>Other distributions from life insurance contracts.</w:t>
      </w:r>
    </w:p>
    <w:p w:rsidR="006F68C5" w:rsidRDefault="006F68C5" w:rsidP="006F68C5">
      <w:pPr>
        <w:pStyle w:val="List3"/>
      </w:pPr>
      <w:r>
        <w:t>d.</w:t>
      </w:r>
      <w:r>
        <w:tab/>
        <w:t>Income earned on life insurance contracts minus the part of any premium attributable to insurance coverage.</w:t>
      </w:r>
    </w:p>
    <w:p w:rsidR="006F68C5" w:rsidRPr="006F68C5" w:rsidRDefault="006F68C5" w:rsidP="006F68C5">
      <w:pPr>
        <w:pStyle w:val="BodyTextIndent"/>
        <w:rPr>
          <w:i/>
          <w:u w:val="single"/>
        </w:rPr>
      </w:pPr>
      <w:r w:rsidRPr="006F68C5">
        <w:rPr>
          <w:i/>
          <w:u w:val="single"/>
        </w:rPr>
        <w:t>Nondeductible Items:</w:t>
      </w:r>
    </w:p>
    <w:p w:rsidR="006F68C5" w:rsidRDefault="006F68C5" w:rsidP="006F68C5">
      <w:pPr>
        <w:pStyle w:val="List3"/>
      </w:pPr>
      <w:r>
        <w:t>a.</w:t>
      </w:r>
      <w:r>
        <w:tab/>
        <w:t>Deduction for dividends received, with certain exceptions for 100 percent dividend received deductions and dividends from a 20 percent owned corporation if the payor is subject to federal income tax on the earnings to which the dividend is attributable.</w:t>
      </w:r>
      <w:r>
        <w:rPr>
          <w:rStyle w:val="EndnoteReference"/>
        </w:rPr>
        <w:endnoteReference w:id="51"/>
      </w:r>
    </w:p>
    <w:p w:rsidR="006F68C5" w:rsidRDefault="006F68C5" w:rsidP="006F68C5">
      <w:pPr>
        <w:pStyle w:val="List3"/>
      </w:pPr>
      <w:r>
        <w:t>b.</w:t>
      </w:r>
      <w:r>
        <w:tab/>
        <w:t>Dividends paid on certain preferred stock of public utilities deductible under Code Section 247.</w:t>
      </w:r>
    </w:p>
    <w:p w:rsidR="006F68C5" w:rsidRDefault="006F68C5" w:rsidP="006F68C5">
      <w:pPr>
        <w:pStyle w:val="List3"/>
      </w:pPr>
      <w:r>
        <w:t>c.</w:t>
      </w:r>
      <w:r>
        <w:tab/>
        <w:t>Dividends paid to an ESOP deductible under Code Section 404(k).</w:t>
      </w:r>
    </w:p>
    <w:p w:rsidR="006F68C5" w:rsidRDefault="006F68C5" w:rsidP="006F68C5">
      <w:pPr>
        <w:pStyle w:val="List3"/>
      </w:pPr>
      <w:r>
        <w:t>d.</w:t>
      </w:r>
      <w:r>
        <w:tab/>
      </w:r>
      <w:proofErr w:type="spellStart"/>
      <w:r>
        <w:t>Nonpatronage</w:t>
      </w:r>
      <w:proofErr w:type="spellEnd"/>
      <w:r>
        <w:t xml:space="preserve"> dividends </w:t>
      </w:r>
      <w:proofErr w:type="gramStart"/>
      <w:r>
        <w:t>that are</w:t>
      </w:r>
      <w:proofErr w:type="gramEnd"/>
      <w:r>
        <w:t xml:space="preserve"> paid and deductible under Code Section 1382(c).</w:t>
      </w:r>
    </w:p>
    <w:p w:rsidR="006F68C5" w:rsidRPr="006F68C5" w:rsidRDefault="006F68C5" w:rsidP="006F68C5">
      <w:pPr>
        <w:pStyle w:val="BodyTextIndent"/>
        <w:rPr>
          <w:i/>
          <w:u w:val="single"/>
        </w:rPr>
      </w:pPr>
      <w:r w:rsidRPr="006F68C5">
        <w:rPr>
          <w:i/>
          <w:u w:val="single"/>
        </w:rPr>
        <w:t>Special Items:</w:t>
      </w:r>
    </w:p>
    <w:p w:rsidR="006F68C5" w:rsidRDefault="006F68C5" w:rsidP="006F68C5">
      <w:pPr>
        <w:pStyle w:val="List3"/>
      </w:pPr>
      <w:r>
        <w:t>a.</w:t>
      </w:r>
      <w:r>
        <w:tab/>
        <w:t>Intangible drilling costs on productive wells of integrated oil companies must be capitalized and amortized over sixty months.</w:t>
      </w:r>
      <w:r>
        <w:rPr>
          <w:rStyle w:val="EndnoteReference"/>
        </w:rPr>
        <w:endnoteReference w:id="52"/>
      </w:r>
    </w:p>
    <w:p w:rsidR="006F68C5" w:rsidRDefault="006F68C5" w:rsidP="006F68C5">
      <w:pPr>
        <w:pStyle w:val="List3"/>
      </w:pPr>
      <w:r>
        <w:t>b.</w:t>
      </w:r>
      <w:r>
        <w:tab/>
        <w:t>Amortization on circulation and organizational expenditures under Code Sections 173 and 248, respectively, is not permitted.</w:t>
      </w:r>
      <w:r>
        <w:rPr>
          <w:rStyle w:val="EndnoteReference"/>
        </w:rPr>
        <w:endnoteReference w:id="53"/>
      </w:r>
    </w:p>
    <w:p w:rsidR="00F51DEF" w:rsidRDefault="006F68C5" w:rsidP="006F68C5">
      <w:pPr>
        <w:pStyle w:val="List3"/>
      </w:pPr>
      <w:r>
        <w:t>c.</w:t>
      </w:r>
      <w:r>
        <w:tab/>
        <w:t>For taxpayers that account for inventory on a last-in, first-out (LIFO) basis, the excess of inventory value on a first-in, first out basis over LIFO basis is an adjustment for ACE.</w:t>
      </w:r>
      <w:r>
        <w:rPr>
          <w:rStyle w:val="EndnoteReference"/>
        </w:rPr>
        <w:endnoteReference w:id="54"/>
      </w:r>
      <w:r w:rsidR="00F51DEF">
        <w:br w:type="page"/>
      </w:r>
    </w:p>
    <w:p w:rsidR="00F51DEF" w:rsidRDefault="00F51DEF" w:rsidP="00F51DEF">
      <w:pPr>
        <w:pStyle w:val="Title2"/>
      </w:pPr>
      <w:r>
        <w:lastRenderedPageBreak/>
        <w:t>Alternative Minimum Tax</w:t>
      </w:r>
    </w:p>
    <w:p w:rsidR="006F68C5" w:rsidRDefault="006F68C5" w:rsidP="006F68C5">
      <w:pPr>
        <w:pStyle w:val="List3"/>
      </w:pPr>
      <w:r>
        <w:t>d.</w:t>
      </w:r>
      <w:r>
        <w:tab/>
        <w:t>The installment sale method is not permitted for ACE.</w:t>
      </w:r>
      <w:r>
        <w:rPr>
          <w:rStyle w:val="EndnoteReference"/>
        </w:rPr>
        <w:endnoteReference w:id="55"/>
      </w:r>
      <w:r>
        <w:t xml:space="preserve"> As a result, taxpayers with an installment sale will have a large adjustment in the first year followed by negative adjustments as payments are made on the installment sale in future years.</w:t>
      </w:r>
    </w:p>
    <w:p w:rsidR="006F68C5" w:rsidRDefault="006F68C5" w:rsidP="006F68C5">
      <w:pPr>
        <w:pStyle w:val="Body"/>
      </w:pPr>
      <w:r>
        <w:t>Adjustments are not required for discharge of indebtedness income under Code Section 108.</w:t>
      </w:r>
      <w:r>
        <w:rPr>
          <w:rStyle w:val="EndnoteReference"/>
        </w:rPr>
        <w:endnoteReference w:id="56"/>
      </w:r>
      <w:r>
        <w:t xml:space="preserve"> In addition, the limit on charitable contributions is not recomputed for ACE.</w:t>
      </w:r>
      <w:r>
        <w:rPr>
          <w:rStyle w:val="EndnoteReference"/>
        </w:rPr>
        <w:endnoteReference w:id="57"/>
      </w:r>
    </w:p>
    <w:p w:rsidR="006F68C5" w:rsidRDefault="006F68C5" w:rsidP="006F68C5">
      <w:pPr>
        <w:pStyle w:val="Body"/>
      </w:pPr>
      <w:r>
        <w:t>Once the corporation’s ACE is determined, the ACE is compared to its pre-adjustment AMTI. If ACE exceeds pre-adjustment AMTI, the corporation must increase its AMTI by 75 percent of the excess.</w:t>
      </w:r>
      <w:r>
        <w:rPr>
          <w:rStyle w:val="EndnoteReference"/>
        </w:rPr>
        <w:endnoteReference w:id="58"/>
      </w:r>
      <w:r>
        <w:t xml:space="preserve"> </w:t>
      </w:r>
    </w:p>
    <w:p w:rsidR="006F68C5" w:rsidRDefault="006F68C5" w:rsidP="006F68C5">
      <w:pPr>
        <w:pStyle w:val="Body"/>
      </w:pPr>
      <w:r>
        <w:t>If ACE is less than pre-adjustment AMTI, the corporation may reduce its AMTI by 75 percent of the difference.</w:t>
      </w:r>
      <w:r>
        <w:rPr>
          <w:rStyle w:val="EndnoteReference"/>
        </w:rPr>
        <w:endnoteReference w:id="59"/>
      </w:r>
      <w:r>
        <w:t xml:space="preserve"> However, the potential negative adjustment is limited to the excess of the aggregate positive ACE adjustments made to AMTI in prior years over the aggregate negative ACE adjustments made to AMTI in prior years.</w:t>
      </w:r>
      <w:r>
        <w:rPr>
          <w:rStyle w:val="EndnoteReference"/>
        </w:rPr>
        <w:endnoteReference w:id="60"/>
      </w:r>
    </w:p>
    <w:p w:rsidR="006F68C5" w:rsidRDefault="006F68C5" w:rsidP="006F68C5">
      <w:pPr>
        <w:pStyle w:val="Heading1"/>
      </w:pPr>
      <w:r>
        <w:t>What are AMT Preferences?</w:t>
      </w:r>
    </w:p>
    <w:p w:rsidR="006F68C5" w:rsidRDefault="006F68C5" w:rsidP="006F68C5">
      <w:pPr>
        <w:pStyle w:val="Body"/>
      </w:pPr>
      <w:r>
        <w:t xml:space="preserve">The following tax preference items must be </w:t>
      </w:r>
      <w:r w:rsidRPr="00FB1D66">
        <w:rPr>
          <w:i/>
        </w:rPr>
        <w:t>added</w:t>
      </w:r>
      <w:r>
        <w:t xml:space="preserve"> to a taxpayer’s taxable income in computing AMTI. As discussed above, tax preference items may only increase AMTI – negative tax preference items are not permitted.</w:t>
      </w:r>
    </w:p>
    <w:p w:rsidR="006F68C5" w:rsidRDefault="006F68C5" w:rsidP="00F51DEF">
      <w:pPr>
        <w:pStyle w:val="ListBullet"/>
        <w:ind w:left="360" w:hanging="360"/>
      </w:pPr>
      <w:r w:rsidRPr="00F51DEF">
        <w:rPr>
          <w:i/>
        </w:rPr>
        <w:t>Depletion.</w:t>
      </w:r>
      <w:r>
        <w:t xml:space="preserve"> The excess of the deduction for depletion over the adjusted basis of the property at the end of the taxable year.</w:t>
      </w:r>
      <w:r>
        <w:rPr>
          <w:rStyle w:val="EndnoteReference"/>
        </w:rPr>
        <w:endnoteReference w:id="61"/>
      </w:r>
    </w:p>
    <w:p w:rsidR="006F68C5" w:rsidRDefault="006F68C5" w:rsidP="00F51DEF">
      <w:pPr>
        <w:pStyle w:val="ListBullet"/>
        <w:ind w:left="360" w:hanging="360"/>
      </w:pPr>
      <w:r w:rsidRPr="00F51DEF">
        <w:rPr>
          <w:i/>
        </w:rPr>
        <w:t xml:space="preserve">Intangible drilling costs. </w:t>
      </w:r>
      <w:r>
        <w:t>The amount by which excess intangible drilling costs are greater than 65 percent of the net income of the taxpayer’s oil, gas, and geothermal properties for the tax year.</w:t>
      </w:r>
      <w:r>
        <w:rPr>
          <w:rStyle w:val="EndnoteReference"/>
        </w:rPr>
        <w:endnoteReference w:id="62"/>
      </w:r>
    </w:p>
    <w:p w:rsidR="006F68C5" w:rsidRDefault="006F68C5" w:rsidP="006F68C5">
      <w:pPr>
        <w:pStyle w:val="BodyTextIndent"/>
      </w:pPr>
      <w:r>
        <w:t>The excess intangible drilling costs are the excess of the intangible drilling and development costs paid or incurred in connection with oil, gas and geothermal wells over the amount that would have been allowable for the taxable year if such costs had been capitalized and straight line recovery of intangibles (over 120 months) had been used with respect to such costs.</w:t>
      </w:r>
      <w:r>
        <w:rPr>
          <w:rStyle w:val="EndnoteReference"/>
        </w:rPr>
        <w:endnoteReference w:id="63"/>
      </w:r>
    </w:p>
    <w:p w:rsidR="003C1371" w:rsidRDefault="006F68C5" w:rsidP="00F51DEF">
      <w:pPr>
        <w:pStyle w:val="ListBullet"/>
        <w:ind w:left="360" w:hanging="360"/>
      </w:pPr>
      <w:r w:rsidRPr="00F51DEF">
        <w:rPr>
          <w:i/>
        </w:rPr>
        <w:t>Tax-exempt interest on private activity bonds.</w:t>
      </w:r>
      <w:r w:rsidRPr="00DE4D2B">
        <w:t xml:space="preserve"> </w:t>
      </w:r>
      <w:r>
        <w:t>Any tax-exempt interest earned on specified private activity bonds must be added to AMTI. The amount of interest to be added back is reduced by any deductions which would have been allowable if the tax-exempt interest was includible in gross income for regular tax purposes.</w:t>
      </w:r>
      <w:r>
        <w:rPr>
          <w:rStyle w:val="EndnoteReference"/>
        </w:rPr>
        <w:endnoteReference w:id="64"/>
      </w:r>
      <w:r w:rsidR="003C1371">
        <w:br w:type="page"/>
      </w:r>
    </w:p>
    <w:p w:rsidR="003C1371" w:rsidRDefault="003C1371" w:rsidP="003C1371">
      <w:pPr>
        <w:pStyle w:val="Title2"/>
      </w:pPr>
      <w:r>
        <w:lastRenderedPageBreak/>
        <w:t>Alternative Minimum Tax</w:t>
      </w:r>
    </w:p>
    <w:p w:rsidR="006F68C5" w:rsidRDefault="006F68C5" w:rsidP="006F68C5">
      <w:pPr>
        <w:pStyle w:val="BodyTextIndent"/>
      </w:pPr>
      <w:r>
        <w:t>A “specified private activity bond” is any private activity bond which is issued after August 7, 1986.</w:t>
      </w:r>
      <w:r>
        <w:rPr>
          <w:rStyle w:val="EndnoteReference"/>
        </w:rPr>
        <w:endnoteReference w:id="65"/>
      </w:r>
      <w:r>
        <w:t xml:space="preserve"> Private activity bonds are covered by I.R.C. §141 and include any bonds that meet either (1) the “private business use” test and the “private security or payment” test or (2) the “private loan financing” test.</w:t>
      </w:r>
    </w:p>
    <w:p w:rsidR="006F68C5" w:rsidRDefault="006F68C5" w:rsidP="006F68C5">
      <w:pPr>
        <w:pStyle w:val="BodyTextIndent"/>
      </w:pPr>
      <w:r>
        <w:t>A bond is identified as a private activity bond at the time of its issue. Because of the inclusion of the interest paid on such bonds in the AMTI of its holders, these bonds typically will pay a higher yield than pure tax-exempt municipal bonds.</w:t>
      </w:r>
    </w:p>
    <w:p w:rsidR="006F68C5" w:rsidRDefault="006F68C5" w:rsidP="006F68C5">
      <w:pPr>
        <w:pStyle w:val="BodyTextIndent"/>
      </w:pPr>
      <w:r>
        <w:t>Investors in mutual funds that earn some tax-exempt interest should watch for the percentage of tax-exempt income that was earned on private activity bonds. The proportionate share of the tax-exempt income earned on such bonds must be added to AMTI.</w:t>
      </w:r>
      <w:r>
        <w:rPr>
          <w:rStyle w:val="EndnoteReference"/>
        </w:rPr>
        <w:endnoteReference w:id="66"/>
      </w:r>
    </w:p>
    <w:p w:rsidR="006F68C5" w:rsidRDefault="006F68C5" w:rsidP="003C1371">
      <w:pPr>
        <w:pStyle w:val="ListBullet"/>
        <w:ind w:left="360" w:hanging="360"/>
      </w:pPr>
      <w:r w:rsidRPr="003C1371">
        <w:rPr>
          <w:i/>
        </w:rPr>
        <w:t>Gains on small business stock.</w:t>
      </w:r>
      <w:r>
        <w:t xml:space="preserve"> Gains of certain small business stock that is held for more than five years qualify for a 50 percent exclusion from taxation.</w:t>
      </w:r>
      <w:r>
        <w:rPr>
          <w:rStyle w:val="EndnoteReference"/>
        </w:rPr>
        <w:endnoteReference w:id="67"/>
      </w:r>
      <w:r>
        <w:t xml:space="preserve"> Small business stock must meet the following requirements:</w:t>
      </w:r>
    </w:p>
    <w:p w:rsidR="006F68C5" w:rsidRDefault="006F68C5" w:rsidP="006F68C5">
      <w:pPr>
        <w:pStyle w:val="List2"/>
      </w:pPr>
      <w:r>
        <w:t>a.</w:t>
      </w:r>
      <w:r>
        <w:tab/>
        <w:t>It must have been issued after August 10, 1993.</w:t>
      </w:r>
      <w:r>
        <w:rPr>
          <w:rStyle w:val="EndnoteReference"/>
        </w:rPr>
        <w:endnoteReference w:id="68"/>
      </w:r>
    </w:p>
    <w:p w:rsidR="006F68C5" w:rsidRDefault="006F68C5" w:rsidP="006F68C5">
      <w:pPr>
        <w:pStyle w:val="List2"/>
      </w:pPr>
      <w:r>
        <w:t>b.</w:t>
      </w:r>
      <w:r>
        <w:tab/>
        <w:t>The taxpayer must be the original holder of the stock and the stock must have been acquired in exchange for money or other property (not including stock) or as compensation for services performed.</w:t>
      </w:r>
      <w:r>
        <w:rPr>
          <w:rStyle w:val="EndnoteReference"/>
        </w:rPr>
        <w:endnoteReference w:id="69"/>
      </w:r>
    </w:p>
    <w:p w:rsidR="006F68C5" w:rsidRDefault="006F68C5" w:rsidP="006F68C5">
      <w:pPr>
        <w:pStyle w:val="List2"/>
      </w:pPr>
      <w:r>
        <w:t>c.</w:t>
      </w:r>
      <w:r>
        <w:tab/>
        <w:t>The corporation must be an active business.</w:t>
      </w:r>
      <w:r>
        <w:rPr>
          <w:rStyle w:val="EndnoteReference"/>
        </w:rPr>
        <w:endnoteReference w:id="70"/>
      </w:r>
    </w:p>
    <w:p w:rsidR="006F68C5" w:rsidRDefault="006F68C5" w:rsidP="006F68C5">
      <w:pPr>
        <w:pStyle w:val="List2"/>
      </w:pPr>
      <w:r>
        <w:t>d.</w:t>
      </w:r>
      <w:r>
        <w:tab/>
        <w:t>The corporation must be a qualified small business.</w:t>
      </w:r>
      <w:r>
        <w:rPr>
          <w:rStyle w:val="EndnoteReference"/>
        </w:rPr>
        <w:endnoteReference w:id="71"/>
      </w:r>
      <w:r>
        <w:t xml:space="preserve"> That is, it must be a domestic C corporation with aggregate gross assets of less than $50,000,000.</w:t>
      </w:r>
      <w:r>
        <w:rPr>
          <w:rStyle w:val="EndnoteReference"/>
        </w:rPr>
        <w:endnoteReference w:id="72"/>
      </w:r>
    </w:p>
    <w:p w:rsidR="006F68C5" w:rsidRDefault="006F68C5" w:rsidP="00684986">
      <w:pPr>
        <w:pStyle w:val="BodyTextIndent"/>
      </w:pPr>
      <w:r>
        <w:t>The amount of the excluded gain that must be added back to AMTI is 7 percent.</w:t>
      </w:r>
      <w:r>
        <w:rPr>
          <w:rStyle w:val="EndnoteReference"/>
        </w:rPr>
        <w:endnoteReference w:id="73"/>
      </w:r>
    </w:p>
    <w:p w:rsidR="006F68C5" w:rsidRDefault="006F68C5" w:rsidP="00684986">
      <w:pPr>
        <w:pStyle w:val="BodyTextIndent"/>
      </w:pPr>
      <w:r>
        <w:rPr>
          <w:i/>
        </w:rPr>
        <w:t>Example:</w:t>
      </w:r>
      <w:r>
        <w:t xml:space="preserve"> Jack Armstrong realized a gain of $300,000 on the sale of Section 1202 stock on June 1, 2014. Accordingly, Jack excludes $150,000 of the gain for regular tax purposes. Jack must add back $10,500 ($150,000 x 7 percent) as a preference item when determining his AMT.</w:t>
      </w:r>
    </w:p>
    <w:p w:rsidR="006F68C5" w:rsidRDefault="006F68C5" w:rsidP="006F68C5">
      <w:pPr>
        <w:pStyle w:val="Heading1"/>
      </w:pPr>
      <w:r>
        <w:t>AMT E</w:t>
      </w:r>
      <w:r w:rsidR="00684986">
        <w:t>xemption for Small Corporations</w:t>
      </w:r>
    </w:p>
    <w:p w:rsidR="003C1371" w:rsidRDefault="006F68C5" w:rsidP="006F68C5">
      <w:pPr>
        <w:pStyle w:val="Body"/>
      </w:pPr>
      <w:r>
        <w:t>The Taxpayer Relief Act of 1997 created an exemption from the AMT for certain “small” corporations. The exemption applies to qualifying corporations with tax years beginning after 1997.</w:t>
      </w:r>
      <w:r w:rsidR="003C1371">
        <w:br w:type="page"/>
      </w:r>
    </w:p>
    <w:p w:rsidR="003C1371" w:rsidRDefault="003C1371" w:rsidP="003C1371">
      <w:pPr>
        <w:pStyle w:val="Title2"/>
      </w:pPr>
      <w:r>
        <w:lastRenderedPageBreak/>
        <w:t>Alternative Minimum Tax</w:t>
      </w:r>
    </w:p>
    <w:p w:rsidR="006F68C5" w:rsidRDefault="006F68C5" w:rsidP="006F68C5">
      <w:pPr>
        <w:pStyle w:val="Body"/>
      </w:pPr>
      <w:r>
        <w:t>In order to qualify for the exemption, a corporation must look to its three taxable years prior to the taxable year in question.</w:t>
      </w:r>
      <w:r>
        <w:rPr>
          <w:rStyle w:val="EndnoteReference"/>
        </w:rPr>
        <w:endnoteReference w:id="74"/>
      </w:r>
      <w:r>
        <w:t xml:space="preserve"> The average gross receipts for this three-year period must not exceed $7.5 million.</w:t>
      </w:r>
      <w:r>
        <w:rPr>
          <w:rStyle w:val="EndnoteReference"/>
        </w:rPr>
        <w:endnoteReference w:id="75"/>
      </w:r>
    </w:p>
    <w:p w:rsidR="006F68C5" w:rsidRDefault="006F68C5" w:rsidP="00684986">
      <w:pPr>
        <w:pStyle w:val="BodyTextIndent"/>
      </w:pPr>
      <w:r>
        <w:rPr>
          <w:i/>
        </w:rPr>
        <w:t>Example:</w:t>
      </w:r>
      <w:r>
        <w:t xml:space="preserve"> </w:t>
      </w:r>
      <w:proofErr w:type="spellStart"/>
      <w:r>
        <w:t>Smallville</w:t>
      </w:r>
      <w:proofErr w:type="spellEnd"/>
      <w:r>
        <w:t xml:space="preserve">, Inc. needs to determine if it can qualify for the AMT exemption in 2013. They expanded operations in the prior year and their revenue doubled. The company reviews their prior three years of revenue and find that for 2010, 2011, and 2012 their gross receipts were $6 million, $6 million, and $12 million, respectively. Their average gross </w:t>
      </w:r>
      <w:proofErr w:type="gramStart"/>
      <w:r>
        <w:t>receipts for the preceding three-year period is</w:t>
      </w:r>
      <w:proofErr w:type="gramEnd"/>
      <w:r>
        <w:t xml:space="preserve"> $8 million. Therefore, </w:t>
      </w:r>
      <w:proofErr w:type="spellStart"/>
      <w:r>
        <w:t>Smallville</w:t>
      </w:r>
      <w:proofErr w:type="spellEnd"/>
      <w:r>
        <w:t xml:space="preserve"> no longer qualifies for the small corporation AMT exemption beginning in 2013.</w:t>
      </w:r>
    </w:p>
    <w:p w:rsidR="006F68C5" w:rsidRDefault="006F68C5" w:rsidP="006F68C5">
      <w:pPr>
        <w:pStyle w:val="Body"/>
      </w:pPr>
      <w:r>
        <w:t>A special exception applies for new corporations. Any first year corporation is automatically exempted from the AMT regardless of the amount of gross receipts derived from operations.</w:t>
      </w:r>
      <w:r>
        <w:rPr>
          <w:rStyle w:val="EndnoteReference"/>
        </w:rPr>
        <w:endnoteReference w:id="76"/>
      </w:r>
      <w:r>
        <w:t xml:space="preserve"> For a new corporation’s second year, the exemption will only apply if the corporation’s gross receipts in the first year were no more than $5 million.</w:t>
      </w:r>
      <w:r>
        <w:rPr>
          <w:rStyle w:val="EndnoteReference"/>
        </w:rPr>
        <w:endnoteReference w:id="77"/>
      </w:r>
      <w:r>
        <w:t xml:space="preserve"> After a corporation’s second year, the corporation must meet the $7.5 million average gross receipts test. Gross receipts for any taxable period of less than twelve months must be annualized when applying these tests.</w:t>
      </w:r>
      <w:r>
        <w:rPr>
          <w:rStyle w:val="EndnoteReference"/>
        </w:rPr>
        <w:endnoteReference w:id="78"/>
      </w:r>
    </w:p>
    <w:p w:rsidR="006F68C5" w:rsidRDefault="006F68C5" w:rsidP="006F68C5">
      <w:pPr>
        <w:pStyle w:val="Body"/>
      </w:pPr>
      <w:r>
        <w:t>If a qualifying small corporation ceases to be a small corporation because its average gross receipts exceed the allowable limits, the corporation will be subject to the AMT for that and all future years. The first day of the taxable year during which the taxpayer ceases to be a small corporation is the “change date.”</w:t>
      </w:r>
      <w:r>
        <w:rPr>
          <w:rStyle w:val="EndnoteReference"/>
        </w:rPr>
        <w:endnoteReference w:id="79"/>
      </w:r>
      <w:r>
        <w:t xml:space="preserve"> The AMT is then computed with the following modifications:</w:t>
      </w:r>
    </w:p>
    <w:p w:rsidR="006F68C5" w:rsidRDefault="006F68C5" w:rsidP="006F68C5">
      <w:pPr>
        <w:pStyle w:val="List"/>
      </w:pPr>
      <w:r>
        <w:t>1.</w:t>
      </w:r>
      <w:r>
        <w:tab/>
        <w:t>The depreciation adjustment is computed only on property placed in service after the change date.</w:t>
      </w:r>
      <w:r>
        <w:rPr>
          <w:rStyle w:val="EndnoteReference"/>
        </w:rPr>
        <w:endnoteReference w:id="80"/>
      </w:r>
    </w:p>
    <w:p w:rsidR="006F68C5" w:rsidRDefault="006F68C5" w:rsidP="006F68C5">
      <w:pPr>
        <w:pStyle w:val="List"/>
      </w:pPr>
      <w:r>
        <w:t>2.</w:t>
      </w:r>
      <w:r>
        <w:tab/>
        <w:t>The mining and exploration adjustment is applied only to costs paid or incurred after the change date.</w:t>
      </w:r>
      <w:r>
        <w:rPr>
          <w:rStyle w:val="EndnoteReference"/>
        </w:rPr>
        <w:endnoteReference w:id="81"/>
      </w:r>
    </w:p>
    <w:p w:rsidR="006F68C5" w:rsidRDefault="006F68C5" w:rsidP="006F68C5">
      <w:pPr>
        <w:pStyle w:val="List"/>
      </w:pPr>
      <w:r>
        <w:t>3.</w:t>
      </w:r>
      <w:r>
        <w:tab/>
        <w:t>The long-term contract adjustment is applied only to contracts entered into after the change date.</w:t>
      </w:r>
      <w:r>
        <w:rPr>
          <w:rStyle w:val="EndnoteReference"/>
        </w:rPr>
        <w:endnoteReference w:id="82"/>
      </w:r>
    </w:p>
    <w:p w:rsidR="006F68C5" w:rsidRDefault="006F68C5" w:rsidP="006F68C5">
      <w:pPr>
        <w:pStyle w:val="List"/>
      </w:pPr>
      <w:r>
        <w:t>4.</w:t>
      </w:r>
      <w:r>
        <w:tab/>
        <w:t>The adjustment for alternative tax net operating loss deduction must be computed as of the change date.</w:t>
      </w:r>
      <w:r>
        <w:rPr>
          <w:rStyle w:val="EndnoteReference"/>
        </w:rPr>
        <w:endnoteReference w:id="83"/>
      </w:r>
    </w:p>
    <w:p w:rsidR="006F68C5" w:rsidRDefault="006F68C5" w:rsidP="006F68C5">
      <w:pPr>
        <w:pStyle w:val="List"/>
      </w:pPr>
      <w:r>
        <w:t>5.</w:t>
      </w:r>
      <w:r>
        <w:tab/>
        <w:t>The limitation on the allowance of negative adjustments to AMTI based on adjusted current earnings will apply only to those “prior taxable years” that begin on or after the change date.</w:t>
      </w:r>
      <w:r>
        <w:rPr>
          <w:rStyle w:val="EndnoteReference"/>
        </w:rPr>
        <w:endnoteReference w:id="84"/>
      </w:r>
    </w:p>
    <w:p w:rsidR="006F68C5" w:rsidRDefault="006F68C5" w:rsidP="006F68C5">
      <w:pPr>
        <w:pStyle w:val="List"/>
      </w:pPr>
      <w:r>
        <w:t>6.</w:t>
      </w:r>
      <w:r>
        <w:tab/>
        <w:t>The depreciation adjustment for computing ACE does not apply.</w:t>
      </w:r>
      <w:r>
        <w:rPr>
          <w:rStyle w:val="EndnoteReference"/>
        </w:rPr>
        <w:endnoteReference w:id="85"/>
      </w:r>
    </w:p>
    <w:p w:rsidR="003C1371" w:rsidRDefault="006F68C5" w:rsidP="006F68C5">
      <w:pPr>
        <w:pStyle w:val="List"/>
      </w:pPr>
      <w:r>
        <w:t>7.</w:t>
      </w:r>
      <w:r>
        <w:tab/>
        <w:t>The earnings and profits adjustment and depletion must be computed as of the change date.</w:t>
      </w:r>
      <w:r>
        <w:rPr>
          <w:rStyle w:val="EndnoteReference"/>
        </w:rPr>
        <w:endnoteReference w:id="86"/>
      </w:r>
      <w:r w:rsidR="003C1371">
        <w:br w:type="page"/>
      </w:r>
    </w:p>
    <w:p w:rsidR="003C1371" w:rsidRDefault="003C1371" w:rsidP="003C1371">
      <w:pPr>
        <w:pStyle w:val="Title2"/>
      </w:pPr>
      <w:r>
        <w:lastRenderedPageBreak/>
        <w:t>Alternative Minimum Tax</w:t>
      </w:r>
    </w:p>
    <w:p w:rsidR="006F68C5" w:rsidRDefault="00684986" w:rsidP="006F68C5">
      <w:pPr>
        <w:pStyle w:val="Heading1"/>
      </w:pPr>
      <w:r>
        <w:t>Foreign Tax Credit</w:t>
      </w:r>
    </w:p>
    <w:p w:rsidR="006F68C5" w:rsidRDefault="006F68C5" w:rsidP="006F68C5">
      <w:pPr>
        <w:pStyle w:val="Body"/>
      </w:pPr>
      <w:r>
        <w:t>A credit for foreign taxes paid or accrued is permitted as a reduction to the tentative minimum tax for individuals and corporations. The credit is computed in the same manner as it is for regular tax purposes except it is based on the tentative minimum tax before the credit. Taxpayers claiming the credit must adjust taxable income by the adjustments and preferences of Code sections 56, 57 and 58.</w:t>
      </w:r>
      <w:r>
        <w:rPr>
          <w:rStyle w:val="EndnoteReference"/>
        </w:rPr>
        <w:endnoteReference w:id="87"/>
      </w:r>
    </w:p>
    <w:p w:rsidR="006F68C5" w:rsidRDefault="00086DB7" w:rsidP="006F68C5">
      <w:pPr>
        <w:pStyle w:val="Heading1"/>
      </w:pPr>
      <w:r>
        <w:t>Credits a</w:t>
      </w:r>
      <w:bookmarkStart w:id="0" w:name="_GoBack"/>
      <w:bookmarkEnd w:id="0"/>
      <w:r w:rsidR="00684986">
        <w:t>gainst Regular Tax</w:t>
      </w:r>
    </w:p>
    <w:p w:rsidR="006F68C5" w:rsidRDefault="006F68C5" w:rsidP="006F68C5">
      <w:pPr>
        <w:pStyle w:val="Body"/>
      </w:pPr>
      <w:r>
        <w:t xml:space="preserve">There are a number of credits that are available to reduce a taxpayer’s regular tax liability. However, a taxpayer may be limited in the amount of credits that may be used to offset their regular tax liability based on the AMT for the year. </w:t>
      </w:r>
    </w:p>
    <w:p w:rsidR="006F68C5" w:rsidRDefault="006F68C5" w:rsidP="006F68C5">
      <w:pPr>
        <w:pStyle w:val="Body"/>
      </w:pPr>
      <w:r>
        <w:t xml:space="preserve">Currently, only the adoption credit, child tax credit, retirement savings contribution credit, and certain energy efficiency credits may be used to offset both a taxpayer’s regular tax and AMT. Other credits may offset regular tax only. </w:t>
      </w:r>
    </w:p>
    <w:p w:rsidR="006F68C5" w:rsidRDefault="006F68C5" w:rsidP="006F68C5">
      <w:pPr>
        <w:pStyle w:val="Body"/>
      </w:pPr>
      <w:r>
        <w:t>A taxpayer that has business tax credits may not use the credits to offset their AMT in a given year. The general business credit of a taxpayer is limited to the taxpayer’s net regular tax (net of nonrefundable personal credits, foreign tax credit, and certain other rarely used credits) plus AMT, less the larger of (1) tentative minimum tax or (2) 25 percent of the amount by which the net regular tax exceeds $25,000.</w:t>
      </w:r>
      <w:r>
        <w:rPr>
          <w:rStyle w:val="EndnoteReference"/>
        </w:rPr>
        <w:endnoteReference w:id="88"/>
      </w:r>
    </w:p>
    <w:p w:rsidR="006F68C5" w:rsidRDefault="006F68C5" w:rsidP="00684986">
      <w:pPr>
        <w:pStyle w:val="BodyTextIndent"/>
      </w:pPr>
      <w:r>
        <w:rPr>
          <w:i/>
        </w:rPr>
        <w:t>Example:</w:t>
      </w:r>
      <w:r>
        <w:t xml:space="preserve"> Jessica’s net regular tax liability for 2014 was $50,000. Her tentative minimum tax was $47,000. She also received a $5,000 general business credit from one of her partnership investments. She is permitted to claim $3,000 of the credit against her 2014 tax liability and thereby reduce her regular tax to $47,000. The remaining $2,000 may be carried forward to future years subject to carryforward limitations.</w:t>
      </w:r>
    </w:p>
    <w:p w:rsidR="006F68C5" w:rsidRDefault="00684986" w:rsidP="006F68C5">
      <w:pPr>
        <w:pStyle w:val="Heading1"/>
      </w:pPr>
      <w:r>
        <w:t>Minimum Tax Credit</w:t>
      </w:r>
    </w:p>
    <w:p w:rsidR="003C1371" w:rsidRDefault="006F68C5" w:rsidP="006F68C5">
      <w:pPr>
        <w:pStyle w:val="Body"/>
      </w:pPr>
      <w:r>
        <w:t>Taxpayers that are caught by the AMT may have the opportunity to recoup some of that payment in future years through the minimum tax credit (MTC).</w:t>
      </w:r>
      <w:r>
        <w:rPr>
          <w:rStyle w:val="EndnoteReference"/>
        </w:rPr>
        <w:endnoteReference w:id="89"/>
      </w:r>
      <w:r>
        <w:t xml:space="preserve"> For individuals, the MTC is created by AMT that is attributable to </w:t>
      </w:r>
      <w:r w:rsidRPr="00730734">
        <w:rPr>
          <w:i/>
        </w:rPr>
        <w:t xml:space="preserve">deferral </w:t>
      </w:r>
      <w:r w:rsidRPr="00730734">
        <w:t>adjustments or preferences</w:t>
      </w:r>
      <w:r>
        <w:t xml:space="preserve">. “Deferral adjustments and preferences” are adjustments or preferences that are made merely because of the timing of particular tax item. On the other hand, AMT that is attributable to </w:t>
      </w:r>
      <w:r w:rsidRPr="00730734">
        <w:rPr>
          <w:i/>
        </w:rPr>
        <w:t xml:space="preserve">exclusion </w:t>
      </w:r>
      <w:r>
        <w:t>adjustments and preferences does not create a MTC. Exclusion adjustments and preferences are ones that would have to be made regardless of timing of the particular tax item.</w:t>
      </w:r>
      <w:r w:rsidR="003C1371">
        <w:br w:type="page"/>
      </w:r>
    </w:p>
    <w:p w:rsidR="003C1371" w:rsidRDefault="003C1371" w:rsidP="003C1371">
      <w:pPr>
        <w:pStyle w:val="Title2"/>
      </w:pPr>
      <w:r>
        <w:lastRenderedPageBreak/>
        <w:t>Alternative Minimum Tax</w:t>
      </w:r>
    </w:p>
    <w:p w:rsidR="006F68C5" w:rsidRDefault="006F68C5" w:rsidP="006F68C5">
      <w:pPr>
        <w:pStyle w:val="Body"/>
      </w:pPr>
      <w:r>
        <w:t>It is easier to list the exclusion adjustments and preferences, keeping in mind that all other adjustments and preferences are of the deferral type and will add to a taxpayer’s MTC:</w:t>
      </w:r>
      <w:r>
        <w:rPr>
          <w:rStyle w:val="EndnoteReference"/>
        </w:rPr>
        <w:endnoteReference w:id="90"/>
      </w:r>
    </w:p>
    <w:p w:rsidR="006F68C5" w:rsidRDefault="006F68C5" w:rsidP="003C1371">
      <w:pPr>
        <w:pStyle w:val="ListBullet"/>
        <w:ind w:left="360" w:hanging="360"/>
      </w:pPr>
      <w:r>
        <w:t>Taxes</w:t>
      </w:r>
    </w:p>
    <w:p w:rsidR="006F68C5" w:rsidRDefault="006F68C5" w:rsidP="003C1371">
      <w:pPr>
        <w:pStyle w:val="ListBullet"/>
        <w:ind w:left="360" w:hanging="360"/>
      </w:pPr>
      <w:r>
        <w:t>Medical expenses</w:t>
      </w:r>
    </w:p>
    <w:p w:rsidR="006F68C5" w:rsidRDefault="006F68C5" w:rsidP="003C1371">
      <w:pPr>
        <w:pStyle w:val="ListBullet"/>
        <w:ind w:left="360" w:hanging="360"/>
      </w:pPr>
      <w:r>
        <w:t>Certain residential interest expense</w:t>
      </w:r>
    </w:p>
    <w:p w:rsidR="006F68C5" w:rsidRDefault="006F68C5" w:rsidP="003C1371">
      <w:pPr>
        <w:pStyle w:val="ListBullet"/>
        <w:ind w:left="360" w:hanging="360"/>
      </w:pPr>
      <w:r>
        <w:t>Miscellaneous itemized deductions</w:t>
      </w:r>
    </w:p>
    <w:p w:rsidR="006F68C5" w:rsidRDefault="006F68C5" w:rsidP="003C1371">
      <w:pPr>
        <w:pStyle w:val="ListBullet"/>
        <w:ind w:left="360" w:hanging="360"/>
      </w:pPr>
      <w:r>
        <w:t>Standard deduction</w:t>
      </w:r>
    </w:p>
    <w:p w:rsidR="006F68C5" w:rsidRDefault="006F68C5" w:rsidP="003C1371">
      <w:pPr>
        <w:pStyle w:val="ListBullet"/>
        <w:ind w:left="360" w:hanging="360"/>
      </w:pPr>
      <w:r>
        <w:t>Personal exemptions</w:t>
      </w:r>
    </w:p>
    <w:p w:rsidR="006F68C5" w:rsidRDefault="006F68C5" w:rsidP="003C1371">
      <w:pPr>
        <w:pStyle w:val="ListBullet"/>
        <w:ind w:left="360" w:hanging="360"/>
      </w:pPr>
      <w:r>
        <w:t>Excess depletion</w:t>
      </w:r>
    </w:p>
    <w:p w:rsidR="006F68C5" w:rsidRDefault="006F68C5" w:rsidP="003C1371">
      <w:pPr>
        <w:pStyle w:val="ListBullet"/>
        <w:ind w:left="360" w:hanging="360"/>
      </w:pPr>
      <w:r>
        <w:t>Tax-exempt interest from private activity bonds</w:t>
      </w:r>
    </w:p>
    <w:p w:rsidR="006F68C5" w:rsidRDefault="006F68C5" w:rsidP="003C1371">
      <w:pPr>
        <w:pStyle w:val="ListBullet"/>
        <w:ind w:left="360" w:hanging="360"/>
      </w:pPr>
      <w:r>
        <w:t>Applicable add back for the Section 1202 exclusion for gain from the sale of small business stock</w:t>
      </w:r>
    </w:p>
    <w:p w:rsidR="006F68C5" w:rsidRDefault="006F68C5" w:rsidP="006F68C5">
      <w:pPr>
        <w:pStyle w:val="Body"/>
      </w:pPr>
      <w:r>
        <w:t>For individuals, the MTC amount is the difference between the taxpayer’s actual AMT and the AMT that would have been owed if only the exclusion adjustments and preferences were considered.</w:t>
      </w:r>
      <w:r>
        <w:rPr>
          <w:rStyle w:val="EndnoteReference"/>
        </w:rPr>
        <w:endnoteReference w:id="91"/>
      </w:r>
      <w:r>
        <w:t xml:space="preserve"> The MTC is available to reduce a taxpayer’s regular tax liability only if the taxpayer is not subject to the AMT. Obviously, an MTC credit will not be available to the taxpayer in the year it is generated. However, any unused MTC is carried forward to offset future regular tax liability in years that the taxpayer is not subject to the AMT. Note that taxpayer’s may only use a carried-forward MTC to offset regular tax liability to the extent that their regular tax liability exceeds their AMT tax liability. This restriction means that it can take many years to completely use a significant MTC. </w:t>
      </w:r>
    </w:p>
    <w:p w:rsidR="003C1371" w:rsidRDefault="006F68C5" w:rsidP="006F68C5">
      <w:pPr>
        <w:pStyle w:val="Body"/>
      </w:pPr>
      <w:r>
        <w:t>Individuals report t</w:t>
      </w:r>
      <w:r w:rsidR="00091E9B">
        <w:t xml:space="preserve">he MTC on Form 8801. Figure </w:t>
      </w:r>
      <w:r>
        <w:t xml:space="preserve">2 illustrates the calculation and use of a hypothetical MTC credit for an individual. </w:t>
      </w:r>
      <w:r w:rsidR="003C1371">
        <w:br w:type="page"/>
      </w:r>
    </w:p>
    <w:p w:rsidR="003C1371" w:rsidRDefault="003C1371" w:rsidP="003C1371">
      <w:pPr>
        <w:pStyle w:val="Title2"/>
      </w:pPr>
      <w:r>
        <w:lastRenderedPageBreak/>
        <w:t>Alternative Minimum Tax</w:t>
      </w:r>
    </w:p>
    <w:tbl>
      <w:tblPr>
        <w:tblStyle w:val="NewStyle2014"/>
        <w:tblW w:w="0" w:type="auto"/>
        <w:tblLook w:val="04A0" w:firstRow="1" w:lastRow="0" w:firstColumn="1" w:lastColumn="0" w:noHBand="0" w:noVBand="1"/>
      </w:tblPr>
      <w:tblGrid>
        <w:gridCol w:w="1699"/>
        <w:gridCol w:w="1699"/>
        <w:gridCol w:w="1699"/>
        <w:gridCol w:w="1699"/>
        <w:gridCol w:w="1700"/>
      </w:tblGrid>
      <w:tr w:rsidR="003C1371" w:rsidTr="003C13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6" w:type="dxa"/>
            <w:gridSpan w:val="5"/>
            <w:shd w:val="clear" w:color="auto" w:fill="auto"/>
          </w:tcPr>
          <w:p w:rsidR="003C1371" w:rsidRDefault="00091E9B" w:rsidP="003C1371">
            <w:pPr>
              <w:pStyle w:val="TableTitle1"/>
            </w:pPr>
            <w:r>
              <w:t xml:space="preserve">Figure </w:t>
            </w:r>
            <w:r w:rsidR="003C1371" w:rsidRPr="009245F3">
              <w:t>2</w:t>
            </w:r>
          </w:p>
        </w:tc>
      </w:tr>
      <w:tr w:rsidR="006F68C5" w:rsidTr="003C1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6" w:type="dxa"/>
            <w:gridSpan w:val="5"/>
            <w:shd w:val="clear" w:color="auto" w:fill="344373"/>
          </w:tcPr>
          <w:p w:rsidR="006F68C5" w:rsidRPr="00740603" w:rsidRDefault="00684986" w:rsidP="00684986">
            <w:pPr>
              <w:pStyle w:val="TableHead1"/>
            </w:pPr>
            <w:r>
              <w:t>Example of MTC Credit Calculation and Use</w:t>
            </w:r>
          </w:p>
        </w:tc>
      </w:tr>
      <w:tr w:rsidR="006F68C5" w:rsidTr="003C13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6" w:type="dxa"/>
            <w:gridSpan w:val="5"/>
            <w:shd w:val="clear" w:color="auto" w:fill="auto"/>
          </w:tcPr>
          <w:p w:rsidR="006F68C5" w:rsidRDefault="006F68C5" w:rsidP="00684986">
            <w:pPr>
              <w:pStyle w:val="TableBody"/>
            </w:pPr>
            <w:r w:rsidRPr="0013129C">
              <w:t>In 2013, Jerry exercised a number of ISOs and, as a result, paid $25,000 of AMT. The only other adjustment he had for AMT purposes was his standard deduction and personal exemption. When preparing his 2014 individual income tax return, Jerry must determine the amount of the MTC available to him. He does this by using Form 8801 to calculate the value of his 2013 deferral adjustments (here, his standard deduction and personal</w:t>
            </w:r>
            <w:r>
              <w:t xml:space="preserve"> exemption). After completing F</w:t>
            </w:r>
            <w:r w:rsidRPr="0013129C">
              <w:t>o</w:t>
            </w:r>
            <w:r>
              <w:t>r</w:t>
            </w:r>
            <w:r w:rsidRPr="0013129C">
              <w:t>m 8801, Jerry realizes that the deferral adjustments increased his 2013 AMT by $22,000. This amount becomes Jerry's MTC. Because Jerry was subject to the AMT in 2013, the entire MTC credit will be carried forward to be used in subsequent years.</w:t>
            </w:r>
          </w:p>
        </w:tc>
      </w:tr>
      <w:tr w:rsidR="003C1371" w:rsidRPr="003C1371" w:rsidTr="003C1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9" w:type="dxa"/>
            <w:shd w:val="clear" w:color="auto" w:fill="D9D9D9" w:themeFill="background1" w:themeFillShade="D9"/>
          </w:tcPr>
          <w:p w:rsidR="006F68C5" w:rsidRPr="003C1371" w:rsidRDefault="006F68C5" w:rsidP="003C1371">
            <w:pPr>
              <w:pStyle w:val="TableHead2"/>
              <w:rPr>
                <w:b/>
                <w:color w:val="auto"/>
              </w:rPr>
            </w:pPr>
            <w:r w:rsidRPr="003C1371">
              <w:rPr>
                <w:b/>
                <w:color w:val="auto"/>
              </w:rPr>
              <w:t>Year</w:t>
            </w:r>
          </w:p>
        </w:tc>
        <w:tc>
          <w:tcPr>
            <w:tcW w:w="1699" w:type="dxa"/>
            <w:shd w:val="clear" w:color="auto" w:fill="D9D9D9" w:themeFill="background1" w:themeFillShade="D9"/>
          </w:tcPr>
          <w:p w:rsidR="006F68C5" w:rsidRPr="003C1371" w:rsidRDefault="006F68C5" w:rsidP="00684986">
            <w:pPr>
              <w:pStyle w:val="TableHead2"/>
              <w:cnfStyle w:val="000000100000" w:firstRow="0" w:lastRow="0" w:firstColumn="0" w:lastColumn="0" w:oddVBand="0" w:evenVBand="0" w:oddHBand="1" w:evenHBand="0" w:firstRowFirstColumn="0" w:firstRowLastColumn="0" w:lastRowFirstColumn="0" w:lastRowLastColumn="0"/>
              <w:rPr>
                <w:b/>
                <w:color w:val="auto"/>
              </w:rPr>
            </w:pPr>
            <w:r w:rsidRPr="003C1371">
              <w:rPr>
                <w:b/>
                <w:color w:val="auto"/>
              </w:rPr>
              <w:t>MTC available</w:t>
            </w:r>
          </w:p>
        </w:tc>
        <w:tc>
          <w:tcPr>
            <w:tcW w:w="1699" w:type="dxa"/>
            <w:shd w:val="clear" w:color="auto" w:fill="D9D9D9" w:themeFill="background1" w:themeFillShade="D9"/>
          </w:tcPr>
          <w:p w:rsidR="006F68C5" w:rsidRPr="003C1371" w:rsidRDefault="006F68C5" w:rsidP="00684986">
            <w:pPr>
              <w:pStyle w:val="TableHead2"/>
              <w:cnfStyle w:val="000000100000" w:firstRow="0" w:lastRow="0" w:firstColumn="0" w:lastColumn="0" w:oddVBand="0" w:evenVBand="0" w:oddHBand="1" w:evenHBand="0" w:firstRowFirstColumn="0" w:firstRowLastColumn="0" w:lastRowFirstColumn="0" w:lastRowLastColumn="0"/>
              <w:rPr>
                <w:b/>
                <w:color w:val="auto"/>
              </w:rPr>
            </w:pPr>
            <w:r w:rsidRPr="003C1371">
              <w:rPr>
                <w:b/>
                <w:color w:val="auto"/>
              </w:rPr>
              <w:t>Regular tax Liability</w:t>
            </w:r>
          </w:p>
        </w:tc>
        <w:tc>
          <w:tcPr>
            <w:tcW w:w="1699" w:type="dxa"/>
            <w:shd w:val="clear" w:color="auto" w:fill="D9D9D9" w:themeFill="background1" w:themeFillShade="D9"/>
          </w:tcPr>
          <w:p w:rsidR="006F68C5" w:rsidRPr="003C1371" w:rsidRDefault="006F68C5" w:rsidP="00684986">
            <w:pPr>
              <w:pStyle w:val="TableHead2"/>
              <w:cnfStyle w:val="000000100000" w:firstRow="0" w:lastRow="0" w:firstColumn="0" w:lastColumn="0" w:oddVBand="0" w:evenVBand="0" w:oddHBand="1" w:evenHBand="0" w:firstRowFirstColumn="0" w:firstRowLastColumn="0" w:lastRowFirstColumn="0" w:lastRowLastColumn="0"/>
              <w:rPr>
                <w:b/>
                <w:color w:val="auto"/>
              </w:rPr>
            </w:pPr>
            <w:r w:rsidRPr="003C1371">
              <w:rPr>
                <w:b/>
                <w:color w:val="auto"/>
              </w:rPr>
              <w:t>AMT liability</w:t>
            </w:r>
          </w:p>
        </w:tc>
        <w:tc>
          <w:tcPr>
            <w:tcW w:w="1700" w:type="dxa"/>
            <w:shd w:val="clear" w:color="auto" w:fill="D9D9D9" w:themeFill="background1" w:themeFillShade="D9"/>
          </w:tcPr>
          <w:p w:rsidR="006F68C5" w:rsidRPr="003C1371" w:rsidRDefault="006F68C5" w:rsidP="00684986">
            <w:pPr>
              <w:pStyle w:val="TableHead2"/>
              <w:cnfStyle w:val="000000100000" w:firstRow="0" w:lastRow="0" w:firstColumn="0" w:lastColumn="0" w:oddVBand="0" w:evenVBand="0" w:oddHBand="1" w:evenHBand="0" w:firstRowFirstColumn="0" w:firstRowLastColumn="0" w:lastRowFirstColumn="0" w:lastRowLastColumn="0"/>
              <w:rPr>
                <w:b/>
                <w:color w:val="auto"/>
              </w:rPr>
            </w:pPr>
            <w:r w:rsidRPr="003C1371">
              <w:rPr>
                <w:b/>
                <w:color w:val="auto"/>
              </w:rPr>
              <w:t>Amount of MTC used to offset regular tax liability</w:t>
            </w:r>
          </w:p>
        </w:tc>
      </w:tr>
      <w:tr w:rsidR="006F68C5" w:rsidTr="003C13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9" w:type="dxa"/>
            <w:shd w:val="clear" w:color="auto" w:fill="auto"/>
          </w:tcPr>
          <w:p w:rsidR="006F68C5" w:rsidRDefault="006F68C5" w:rsidP="00684986">
            <w:pPr>
              <w:pStyle w:val="TableBody"/>
              <w:jc w:val="center"/>
            </w:pPr>
            <w:r>
              <w:t>2014</w:t>
            </w:r>
          </w:p>
        </w:tc>
        <w:tc>
          <w:tcPr>
            <w:tcW w:w="1699" w:type="dxa"/>
            <w:shd w:val="clear" w:color="auto" w:fill="auto"/>
          </w:tcPr>
          <w:p w:rsidR="006F68C5" w:rsidRDefault="006F68C5" w:rsidP="00684986">
            <w:pPr>
              <w:pStyle w:val="TableBody"/>
              <w:jc w:val="center"/>
              <w:cnfStyle w:val="000000010000" w:firstRow="0" w:lastRow="0" w:firstColumn="0" w:lastColumn="0" w:oddVBand="0" w:evenVBand="0" w:oddHBand="0" w:evenHBand="1" w:firstRowFirstColumn="0" w:firstRowLastColumn="0" w:lastRowFirstColumn="0" w:lastRowLastColumn="0"/>
            </w:pPr>
            <w:r>
              <w:t>$22,000</w:t>
            </w:r>
          </w:p>
        </w:tc>
        <w:tc>
          <w:tcPr>
            <w:tcW w:w="1699" w:type="dxa"/>
            <w:shd w:val="clear" w:color="auto" w:fill="auto"/>
          </w:tcPr>
          <w:p w:rsidR="006F68C5" w:rsidRDefault="006F68C5" w:rsidP="00684986">
            <w:pPr>
              <w:pStyle w:val="TableBody"/>
              <w:jc w:val="center"/>
              <w:cnfStyle w:val="000000010000" w:firstRow="0" w:lastRow="0" w:firstColumn="0" w:lastColumn="0" w:oddVBand="0" w:evenVBand="0" w:oddHBand="0" w:evenHBand="1" w:firstRowFirstColumn="0" w:firstRowLastColumn="0" w:lastRowFirstColumn="0" w:lastRowLastColumn="0"/>
            </w:pPr>
            <w:r>
              <w:t>$25,000</w:t>
            </w:r>
          </w:p>
        </w:tc>
        <w:tc>
          <w:tcPr>
            <w:tcW w:w="1699" w:type="dxa"/>
            <w:shd w:val="clear" w:color="auto" w:fill="auto"/>
          </w:tcPr>
          <w:p w:rsidR="006F68C5" w:rsidRDefault="006F68C5" w:rsidP="00684986">
            <w:pPr>
              <w:pStyle w:val="TableBody"/>
              <w:jc w:val="center"/>
              <w:cnfStyle w:val="000000010000" w:firstRow="0" w:lastRow="0" w:firstColumn="0" w:lastColumn="0" w:oddVBand="0" w:evenVBand="0" w:oddHBand="0" w:evenHBand="1" w:firstRowFirstColumn="0" w:firstRowLastColumn="0" w:lastRowFirstColumn="0" w:lastRowLastColumn="0"/>
            </w:pPr>
            <w:r>
              <w:t>$20,000</w:t>
            </w:r>
          </w:p>
        </w:tc>
        <w:tc>
          <w:tcPr>
            <w:tcW w:w="1700" w:type="dxa"/>
            <w:shd w:val="clear" w:color="auto" w:fill="auto"/>
          </w:tcPr>
          <w:p w:rsidR="006F68C5" w:rsidRDefault="006F68C5" w:rsidP="00684986">
            <w:pPr>
              <w:pStyle w:val="TableBody"/>
              <w:jc w:val="center"/>
              <w:cnfStyle w:val="000000010000" w:firstRow="0" w:lastRow="0" w:firstColumn="0" w:lastColumn="0" w:oddVBand="0" w:evenVBand="0" w:oddHBand="0" w:evenHBand="1" w:firstRowFirstColumn="0" w:firstRowLastColumn="0" w:lastRowFirstColumn="0" w:lastRowLastColumn="0"/>
            </w:pPr>
            <w:r>
              <w:t>$5,000</w:t>
            </w:r>
          </w:p>
        </w:tc>
      </w:tr>
      <w:tr w:rsidR="006F68C5" w:rsidTr="003C1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9" w:type="dxa"/>
            <w:shd w:val="clear" w:color="auto" w:fill="D9D9D9" w:themeFill="background1" w:themeFillShade="D9"/>
          </w:tcPr>
          <w:p w:rsidR="006F68C5" w:rsidRDefault="006F68C5" w:rsidP="00684986">
            <w:pPr>
              <w:pStyle w:val="TableBody"/>
              <w:jc w:val="center"/>
            </w:pPr>
            <w:r>
              <w:t>2015</w:t>
            </w:r>
          </w:p>
        </w:tc>
        <w:tc>
          <w:tcPr>
            <w:tcW w:w="1699" w:type="dxa"/>
            <w:shd w:val="clear" w:color="auto" w:fill="D9D9D9" w:themeFill="background1" w:themeFillShade="D9"/>
          </w:tcPr>
          <w:p w:rsidR="006F68C5" w:rsidRDefault="006F68C5" w:rsidP="00684986">
            <w:pPr>
              <w:pStyle w:val="TableBody"/>
              <w:jc w:val="center"/>
              <w:cnfStyle w:val="000000100000" w:firstRow="0" w:lastRow="0" w:firstColumn="0" w:lastColumn="0" w:oddVBand="0" w:evenVBand="0" w:oddHBand="1" w:evenHBand="0" w:firstRowFirstColumn="0" w:firstRowLastColumn="0" w:lastRowFirstColumn="0" w:lastRowLastColumn="0"/>
            </w:pPr>
            <w:r>
              <w:t>$17,000</w:t>
            </w:r>
          </w:p>
        </w:tc>
        <w:tc>
          <w:tcPr>
            <w:tcW w:w="1699" w:type="dxa"/>
            <w:shd w:val="clear" w:color="auto" w:fill="D9D9D9" w:themeFill="background1" w:themeFillShade="D9"/>
          </w:tcPr>
          <w:p w:rsidR="006F68C5" w:rsidRDefault="006F68C5" w:rsidP="00684986">
            <w:pPr>
              <w:pStyle w:val="TableBody"/>
              <w:jc w:val="center"/>
              <w:cnfStyle w:val="000000100000" w:firstRow="0" w:lastRow="0" w:firstColumn="0" w:lastColumn="0" w:oddVBand="0" w:evenVBand="0" w:oddHBand="1" w:evenHBand="0" w:firstRowFirstColumn="0" w:firstRowLastColumn="0" w:lastRowFirstColumn="0" w:lastRowLastColumn="0"/>
            </w:pPr>
            <w:r>
              <w:t>$25,000</w:t>
            </w:r>
          </w:p>
        </w:tc>
        <w:tc>
          <w:tcPr>
            <w:tcW w:w="1699" w:type="dxa"/>
            <w:shd w:val="clear" w:color="auto" w:fill="D9D9D9" w:themeFill="background1" w:themeFillShade="D9"/>
          </w:tcPr>
          <w:p w:rsidR="006F68C5" w:rsidRDefault="006F68C5" w:rsidP="00684986">
            <w:pPr>
              <w:pStyle w:val="TableBody"/>
              <w:jc w:val="center"/>
              <w:cnfStyle w:val="000000100000" w:firstRow="0" w:lastRow="0" w:firstColumn="0" w:lastColumn="0" w:oddVBand="0" w:evenVBand="0" w:oddHBand="1" w:evenHBand="0" w:firstRowFirstColumn="0" w:firstRowLastColumn="0" w:lastRowFirstColumn="0" w:lastRowLastColumn="0"/>
            </w:pPr>
            <w:r>
              <w:t>$24,000</w:t>
            </w:r>
          </w:p>
        </w:tc>
        <w:tc>
          <w:tcPr>
            <w:tcW w:w="1700" w:type="dxa"/>
            <w:shd w:val="clear" w:color="auto" w:fill="D9D9D9" w:themeFill="background1" w:themeFillShade="D9"/>
          </w:tcPr>
          <w:p w:rsidR="006F68C5" w:rsidRDefault="006F68C5" w:rsidP="00684986">
            <w:pPr>
              <w:pStyle w:val="TableBody"/>
              <w:jc w:val="center"/>
              <w:cnfStyle w:val="000000100000" w:firstRow="0" w:lastRow="0" w:firstColumn="0" w:lastColumn="0" w:oddVBand="0" w:evenVBand="0" w:oddHBand="1" w:evenHBand="0" w:firstRowFirstColumn="0" w:firstRowLastColumn="0" w:lastRowFirstColumn="0" w:lastRowLastColumn="0"/>
            </w:pPr>
            <w:r>
              <w:t>$1,000</w:t>
            </w:r>
          </w:p>
        </w:tc>
      </w:tr>
      <w:tr w:rsidR="006F68C5" w:rsidTr="003C13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9" w:type="dxa"/>
            <w:shd w:val="clear" w:color="auto" w:fill="auto"/>
          </w:tcPr>
          <w:p w:rsidR="006F68C5" w:rsidRDefault="006F68C5" w:rsidP="00684986">
            <w:pPr>
              <w:pStyle w:val="TableBody"/>
              <w:jc w:val="center"/>
            </w:pPr>
            <w:r>
              <w:t>2016</w:t>
            </w:r>
          </w:p>
        </w:tc>
        <w:tc>
          <w:tcPr>
            <w:tcW w:w="1699" w:type="dxa"/>
            <w:shd w:val="clear" w:color="auto" w:fill="auto"/>
          </w:tcPr>
          <w:p w:rsidR="006F68C5" w:rsidRDefault="006F68C5" w:rsidP="00684986">
            <w:pPr>
              <w:pStyle w:val="TableBody"/>
              <w:jc w:val="center"/>
              <w:cnfStyle w:val="000000010000" w:firstRow="0" w:lastRow="0" w:firstColumn="0" w:lastColumn="0" w:oddVBand="0" w:evenVBand="0" w:oddHBand="0" w:evenHBand="1" w:firstRowFirstColumn="0" w:firstRowLastColumn="0" w:lastRowFirstColumn="0" w:lastRowLastColumn="0"/>
            </w:pPr>
            <w:r>
              <w:t>$16,000</w:t>
            </w:r>
          </w:p>
        </w:tc>
        <w:tc>
          <w:tcPr>
            <w:tcW w:w="1699" w:type="dxa"/>
            <w:shd w:val="clear" w:color="auto" w:fill="auto"/>
          </w:tcPr>
          <w:p w:rsidR="006F68C5" w:rsidRDefault="006F68C5" w:rsidP="00684986">
            <w:pPr>
              <w:pStyle w:val="TableBody"/>
              <w:jc w:val="center"/>
              <w:cnfStyle w:val="000000010000" w:firstRow="0" w:lastRow="0" w:firstColumn="0" w:lastColumn="0" w:oddVBand="0" w:evenVBand="0" w:oddHBand="0" w:evenHBand="1" w:firstRowFirstColumn="0" w:firstRowLastColumn="0" w:lastRowFirstColumn="0" w:lastRowLastColumn="0"/>
            </w:pPr>
            <w:r>
              <w:t>$30,000</w:t>
            </w:r>
          </w:p>
        </w:tc>
        <w:tc>
          <w:tcPr>
            <w:tcW w:w="1699" w:type="dxa"/>
            <w:shd w:val="clear" w:color="auto" w:fill="auto"/>
          </w:tcPr>
          <w:p w:rsidR="006F68C5" w:rsidRDefault="006F68C5" w:rsidP="00684986">
            <w:pPr>
              <w:pStyle w:val="TableBody"/>
              <w:jc w:val="center"/>
              <w:cnfStyle w:val="000000010000" w:firstRow="0" w:lastRow="0" w:firstColumn="0" w:lastColumn="0" w:oddVBand="0" w:evenVBand="0" w:oddHBand="0" w:evenHBand="1" w:firstRowFirstColumn="0" w:firstRowLastColumn="0" w:lastRowFirstColumn="0" w:lastRowLastColumn="0"/>
            </w:pPr>
            <w:r>
              <w:t>$22,000</w:t>
            </w:r>
          </w:p>
        </w:tc>
        <w:tc>
          <w:tcPr>
            <w:tcW w:w="1700" w:type="dxa"/>
            <w:shd w:val="clear" w:color="auto" w:fill="auto"/>
          </w:tcPr>
          <w:p w:rsidR="006F68C5" w:rsidRDefault="006F68C5" w:rsidP="00684986">
            <w:pPr>
              <w:pStyle w:val="TableBody"/>
              <w:jc w:val="center"/>
              <w:cnfStyle w:val="000000010000" w:firstRow="0" w:lastRow="0" w:firstColumn="0" w:lastColumn="0" w:oddVBand="0" w:evenVBand="0" w:oddHBand="0" w:evenHBand="1" w:firstRowFirstColumn="0" w:firstRowLastColumn="0" w:lastRowFirstColumn="0" w:lastRowLastColumn="0"/>
            </w:pPr>
            <w:r>
              <w:t>$8,000</w:t>
            </w:r>
          </w:p>
        </w:tc>
      </w:tr>
      <w:tr w:rsidR="006F68C5" w:rsidTr="003C1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9" w:type="dxa"/>
            <w:shd w:val="clear" w:color="auto" w:fill="D9D9D9" w:themeFill="background1" w:themeFillShade="D9"/>
          </w:tcPr>
          <w:p w:rsidR="006F68C5" w:rsidRDefault="006F68C5" w:rsidP="00684986">
            <w:pPr>
              <w:pStyle w:val="TableBody"/>
              <w:jc w:val="center"/>
            </w:pPr>
            <w:r>
              <w:t>2017</w:t>
            </w:r>
          </w:p>
        </w:tc>
        <w:tc>
          <w:tcPr>
            <w:tcW w:w="1699" w:type="dxa"/>
            <w:shd w:val="clear" w:color="auto" w:fill="D9D9D9" w:themeFill="background1" w:themeFillShade="D9"/>
          </w:tcPr>
          <w:p w:rsidR="006F68C5" w:rsidRDefault="006F68C5" w:rsidP="00684986">
            <w:pPr>
              <w:pStyle w:val="TableBody"/>
              <w:jc w:val="center"/>
              <w:cnfStyle w:val="000000100000" w:firstRow="0" w:lastRow="0" w:firstColumn="0" w:lastColumn="0" w:oddVBand="0" w:evenVBand="0" w:oddHBand="1" w:evenHBand="0" w:firstRowFirstColumn="0" w:firstRowLastColumn="0" w:lastRowFirstColumn="0" w:lastRowLastColumn="0"/>
            </w:pPr>
            <w:r>
              <w:t>$8,000</w:t>
            </w:r>
          </w:p>
        </w:tc>
        <w:tc>
          <w:tcPr>
            <w:tcW w:w="1699" w:type="dxa"/>
            <w:shd w:val="clear" w:color="auto" w:fill="D9D9D9" w:themeFill="background1" w:themeFillShade="D9"/>
          </w:tcPr>
          <w:p w:rsidR="006F68C5" w:rsidRDefault="006F68C5" w:rsidP="00684986">
            <w:pPr>
              <w:pStyle w:val="TableBody"/>
              <w:jc w:val="center"/>
              <w:cnfStyle w:val="000000100000" w:firstRow="0" w:lastRow="0" w:firstColumn="0" w:lastColumn="0" w:oddVBand="0" w:evenVBand="0" w:oddHBand="1" w:evenHBand="0" w:firstRowFirstColumn="0" w:firstRowLastColumn="0" w:lastRowFirstColumn="0" w:lastRowLastColumn="0"/>
            </w:pPr>
            <w:r>
              <w:t>$30,000</w:t>
            </w:r>
          </w:p>
        </w:tc>
        <w:tc>
          <w:tcPr>
            <w:tcW w:w="1699" w:type="dxa"/>
            <w:shd w:val="clear" w:color="auto" w:fill="D9D9D9" w:themeFill="background1" w:themeFillShade="D9"/>
          </w:tcPr>
          <w:p w:rsidR="006F68C5" w:rsidRDefault="006F68C5" w:rsidP="00684986">
            <w:pPr>
              <w:pStyle w:val="TableBody"/>
              <w:jc w:val="center"/>
              <w:cnfStyle w:val="000000100000" w:firstRow="0" w:lastRow="0" w:firstColumn="0" w:lastColumn="0" w:oddVBand="0" w:evenVBand="0" w:oddHBand="1" w:evenHBand="0" w:firstRowFirstColumn="0" w:firstRowLastColumn="0" w:lastRowFirstColumn="0" w:lastRowLastColumn="0"/>
            </w:pPr>
            <w:r>
              <w:t>$25,000</w:t>
            </w:r>
          </w:p>
        </w:tc>
        <w:tc>
          <w:tcPr>
            <w:tcW w:w="1700" w:type="dxa"/>
            <w:shd w:val="clear" w:color="auto" w:fill="D9D9D9" w:themeFill="background1" w:themeFillShade="D9"/>
          </w:tcPr>
          <w:p w:rsidR="006F68C5" w:rsidRDefault="006F68C5" w:rsidP="00684986">
            <w:pPr>
              <w:pStyle w:val="TableBody"/>
              <w:jc w:val="center"/>
              <w:cnfStyle w:val="000000100000" w:firstRow="0" w:lastRow="0" w:firstColumn="0" w:lastColumn="0" w:oddVBand="0" w:evenVBand="0" w:oddHBand="1" w:evenHBand="0" w:firstRowFirstColumn="0" w:firstRowLastColumn="0" w:lastRowFirstColumn="0" w:lastRowLastColumn="0"/>
            </w:pPr>
            <w:r>
              <w:t>$5,000</w:t>
            </w:r>
          </w:p>
        </w:tc>
      </w:tr>
      <w:tr w:rsidR="006F68C5" w:rsidTr="003C13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9" w:type="dxa"/>
            <w:shd w:val="clear" w:color="auto" w:fill="auto"/>
          </w:tcPr>
          <w:p w:rsidR="006F68C5" w:rsidRDefault="006F68C5" w:rsidP="00684986">
            <w:pPr>
              <w:pStyle w:val="TableBody"/>
              <w:jc w:val="center"/>
            </w:pPr>
            <w:r>
              <w:t>2018</w:t>
            </w:r>
          </w:p>
        </w:tc>
        <w:tc>
          <w:tcPr>
            <w:tcW w:w="1699" w:type="dxa"/>
            <w:shd w:val="clear" w:color="auto" w:fill="auto"/>
          </w:tcPr>
          <w:p w:rsidR="006F68C5" w:rsidRDefault="006F68C5" w:rsidP="00684986">
            <w:pPr>
              <w:pStyle w:val="TableBody"/>
              <w:jc w:val="center"/>
              <w:cnfStyle w:val="000000010000" w:firstRow="0" w:lastRow="0" w:firstColumn="0" w:lastColumn="0" w:oddVBand="0" w:evenVBand="0" w:oddHBand="0" w:evenHBand="1" w:firstRowFirstColumn="0" w:firstRowLastColumn="0" w:lastRowFirstColumn="0" w:lastRowLastColumn="0"/>
            </w:pPr>
            <w:r>
              <w:t>$3,000</w:t>
            </w:r>
          </w:p>
        </w:tc>
        <w:tc>
          <w:tcPr>
            <w:tcW w:w="1699" w:type="dxa"/>
            <w:shd w:val="clear" w:color="auto" w:fill="auto"/>
          </w:tcPr>
          <w:p w:rsidR="006F68C5" w:rsidRDefault="006F68C5" w:rsidP="00684986">
            <w:pPr>
              <w:pStyle w:val="TableBody"/>
              <w:jc w:val="center"/>
              <w:cnfStyle w:val="000000010000" w:firstRow="0" w:lastRow="0" w:firstColumn="0" w:lastColumn="0" w:oddVBand="0" w:evenVBand="0" w:oddHBand="0" w:evenHBand="1" w:firstRowFirstColumn="0" w:firstRowLastColumn="0" w:lastRowFirstColumn="0" w:lastRowLastColumn="0"/>
            </w:pPr>
            <w:r>
              <w:t>$32,000</w:t>
            </w:r>
          </w:p>
        </w:tc>
        <w:tc>
          <w:tcPr>
            <w:tcW w:w="1699" w:type="dxa"/>
            <w:shd w:val="clear" w:color="auto" w:fill="auto"/>
          </w:tcPr>
          <w:p w:rsidR="006F68C5" w:rsidRDefault="006F68C5" w:rsidP="00684986">
            <w:pPr>
              <w:pStyle w:val="TableBody"/>
              <w:jc w:val="center"/>
              <w:cnfStyle w:val="000000010000" w:firstRow="0" w:lastRow="0" w:firstColumn="0" w:lastColumn="0" w:oddVBand="0" w:evenVBand="0" w:oddHBand="0" w:evenHBand="1" w:firstRowFirstColumn="0" w:firstRowLastColumn="0" w:lastRowFirstColumn="0" w:lastRowLastColumn="0"/>
            </w:pPr>
            <w:r>
              <w:t>$28,000</w:t>
            </w:r>
          </w:p>
        </w:tc>
        <w:tc>
          <w:tcPr>
            <w:tcW w:w="1700" w:type="dxa"/>
            <w:shd w:val="clear" w:color="auto" w:fill="auto"/>
          </w:tcPr>
          <w:p w:rsidR="006F68C5" w:rsidRDefault="006F68C5" w:rsidP="00684986">
            <w:pPr>
              <w:pStyle w:val="TableBody"/>
              <w:jc w:val="center"/>
              <w:cnfStyle w:val="000000010000" w:firstRow="0" w:lastRow="0" w:firstColumn="0" w:lastColumn="0" w:oddVBand="0" w:evenVBand="0" w:oddHBand="0" w:evenHBand="1" w:firstRowFirstColumn="0" w:firstRowLastColumn="0" w:lastRowFirstColumn="0" w:lastRowLastColumn="0"/>
            </w:pPr>
            <w:r>
              <w:t>$3,000</w:t>
            </w:r>
          </w:p>
        </w:tc>
      </w:tr>
    </w:tbl>
    <w:p w:rsidR="006F68C5" w:rsidRDefault="006F68C5" w:rsidP="006F68C5">
      <w:pPr>
        <w:pStyle w:val="Body"/>
      </w:pPr>
      <w:r>
        <w:t>U</w:t>
      </w:r>
      <w:r w:rsidRPr="009245F3">
        <w:t>nlike what is required for indivi</w:t>
      </w:r>
      <w:r>
        <w:t>duals, The MTC for corporations is determined without making any adjustments to the AMT paid in prior years.</w:t>
      </w:r>
      <w:r>
        <w:rPr>
          <w:rStyle w:val="EndnoteReference"/>
        </w:rPr>
        <w:endnoteReference w:id="92"/>
      </w:r>
      <w:r>
        <w:t xml:space="preserve"> If a corporation pays the AMT in a prior year, the full amount of the AMT is available as a MTC in subsequent years offset the entity's regular tax liability to the extent that it exceeds the AMT liability. Corporations use Form 8827 to determine the MTC.</w:t>
      </w:r>
    </w:p>
    <w:p w:rsidR="006F68C5" w:rsidRDefault="006F68C5" w:rsidP="00684986">
      <w:pPr>
        <w:pStyle w:val="BodyTextIndent"/>
      </w:pPr>
      <w:r>
        <w:rPr>
          <w:i/>
        </w:rPr>
        <w:t>Example:</w:t>
      </w:r>
      <w:r>
        <w:t xml:space="preserve"> Palace Amusements paid $5,000 of AMT in 2013. In 2014, the company's regular tax liability, before the MTC, was $55,000. The company's tentative minimum tax was $47,000. Since the utilization of the MTC against regular tax does not reduce the tax below the company's tentative minimum tax, the full amount of the MTC is allowed in 2014. The company's net tax liability for 2014 is reduced to $50,000.</w:t>
      </w:r>
    </w:p>
    <w:p w:rsidR="003C1371" w:rsidRDefault="006F68C5" w:rsidP="006F68C5">
      <w:pPr>
        <w:pStyle w:val="Body"/>
      </w:pPr>
      <w:proofErr w:type="gramStart"/>
      <w:r>
        <w:rPr>
          <w:i/>
        </w:rPr>
        <w:t>Refundable MTC.</w:t>
      </w:r>
      <w:proofErr w:type="gramEnd"/>
      <w:r>
        <w:rPr>
          <w:i/>
        </w:rPr>
        <w:t xml:space="preserve"> </w:t>
      </w:r>
      <w:r>
        <w:t xml:space="preserve">Beginning in 2007 and ending with the 2012 tax year, the Tax Relief and Healthcare Act of 2007 allowed taxpayers with long-term unused minimum tax credits an opportunity to benefit from the minimum tax credit sooner. This “Refundable Minimum Tax Credit” was equal to the greater of $5,000 or 20 percent of the long-term unused MTC for the year. The primary purpose of creating this provision was to give relief to the many taxpayers </w:t>
      </w:r>
      <w:r w:rsidR="003C1371">
        <w:br w:type="page"/>
      </w:r>
    </w:p>
    <w:p w:rsidR="003C1371" w:rsidRDefault="003C1371" w:rsidP="003C1371">
      <w:pPr>
        <w:pStyle w:val="Title2"/>
      </w:pPr>
      <w:r>
        <w:lastRenderedPageBreak/>
        <w:t>Alternative Minimum Tax</w:t>
      </w:r>
    </w:p>
    <w:p w:rsidR="006F68C5" w:rsidRPr="000B269C" w:rsidRDefault="006F68C5" w:rsidP="006F68C5">
      <w:pPr>
        <w:pStyle w:val="Body"/>
        <w:rPr>
          <w:i/>
        </w:rPr>
      </w:pPr>
      <w:proofErr w:type="gramStart"/>
      <w:r>
        <w:t>who</w:t>
      </w:r>
      <w:proofErr w:type="gramEnd"/>
      <w:r>
        <w:t xml:space="preserve"> exercised incentive stock options in prior years and, for one reason or another, have not benefited from the existing MTC rules. This exception expired is no longer applicable for current tax returns.</w:t>
      </w:r>
    </w:p>
    <w:p w:rsidR="00A357AD" w:rsidRPr="00EF1379" w:rsidRDefault="00A357AD" w:rsidP="003C1371">
      <w:pPr>
        <w:pStyle w:val="FootnoteSeparator"/>
      </w:pPr>
    </w:p>
    <w:sectPr w:rsidR="00A357AD" w:rsidRPr="00EF1379" w:rsidSect="00B1645E">
      <w:footerReference w:type="default" r:id="rId12"/>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DEF" w:rsidRDefault="00F51DEF" w:rsidP="001B5761">
      <w:r>
        <w:separator/>
      </w:r>
    </w:p>
  </w:endnote>
  <w:endnote w:type="continuationSeparator" w:id="0">
    <w:p w:rsidR="00F51DEF" w:rsidRDefault="00F51DEF" w:rsidP="001B5761">
      <w:r>
        <w:continuationSeparator/>
      </w:r>
    </w:p>
  </w:endnote>
  <w:endnote w:id="1">
    <w:p w:rsidR="00F51DEF" w:rsidRPr="00D96AED" w:rsidRDefault="00F51DEF" w:rsidP="00684986">
      <w:pPr>
        <w:pStyle w:val="Footnote"/>
      </w:pPr>
      <w:r w:rsidRPr="00D96AED">
        <w:rPr>
          <w:rStyle w:val="EndnoteReference"/>
        </w:rPr>
        <w:endnoteRef/>
      </w:r>
      <w:r w:rsidRPr="00D96AED">
        <w:t>Quick Facts: Alternative Minimum Tax; www.taxpolicycenter.org.</w:t>
      </w:r>
    </w:p>
  </w:endnote>
  <w:endnote w:id="2">
    <w:p w:rsidR="00091E9B" w:rsidRPr="00D96AED" w:rsidRDefault="00091E9B" w:rsidP="00091E9B">
      <w:pPr>
        <w:pStyle w:val="Footnote"/>
      </w:pPr>
      <w:r w:rsidRPr="00D96AED">
        <w:rPr>
          <w:rStyle w:val="EndnoteReference"/>
        </w:rPr>
        <w:endnoteRef/>
      </w:r>
      <w:r w:rsidRPr="00D96AED">
        <w:t>I.R.C. §55(b</w:t>
      </w:r>
      <w:proofErr w:type="gramStart"/>
      <w:r w:rsidRPr="00D96AED">
        <w:t>)(</w:t>
      </w:r>
      <w:proofErr w:type="gramEnd"/>
      <w:r w:rsidRPr="00D96AED">
        <w:t>1)(A).</w:t>
      </w:r>
    </w:p>
  </w:endnote>
  <w:endnote w:id="3">
    <w:p w:rsidR="00F51DEF" w:rsidRPr="00D96AED" w:rsidRDefault="00F51DEF" w:rsidP="00684986">
      <w:pPr>
        <w:pStyle w:val="Footnote"/>
      </w:pPr>
      <w:r w:rsidRPr="00D96AED">
        <w:rPr>
          <w:rStyle w:val="EndnoteReference"/>
        </w:rPr>
        <w:endnoteRef/>
      </w:r>
      <w:r w:rsidRPr="00D96AED">
        <w:t>I.R.C. §55(b</w:t>
      </w:r>
      <w:proofErr w:type="gramStart"/>
      <w:r w:rsidRPr="00D96AED">
        <w:t>)(</w:t>
      </w:r>
      <w:proofErr w:type="gramEnd"/>
      <w:r w:rsidRPr="00D96AED">
        <w:t>3).</w:t>
      </w:r>
    </w:p>
  </w:endnote>
  <w:endnote w:id="4">
    <w:p w:rsidR="00F51DEF" w:rsidRPr="00D96AED" w:rsidRDefault="00F51DEF" w:rsidP="00684986">
      <w:pPr>
        <w:pStyle w:val="Footnote"/>
      </w:pPr>
      <w:r w:rsidRPr="00D96AED">
        <w:rPr>
          <w:rStyle w:val="EndnoteReference"/>
        </w:rPr>
        <w:endnoteRef/>
      </w:r>
      <w:r w:rsidRPr="00D96AED">
        <w:t>I.R.C. §55(b</w:t>
      </w:r>
      <w:proofErr w:type="gramStart"/>
      <w:r w:rsidRPr="00D96AED">
        <w:t>)(</w:t>
      </w:r>
      <w:proofErr w:type="gramEnd"/>
      <w:r w:rsidRPr="00D96AED">
        <w:t>2).</w:t>
      </w:r>
    </w:p>
  </w:endnote>
  <w:endnote w:id="5">
    <w:p w:rsidR="00F51DEF" w:rsidRPr="00D96AED" w:rsidRDefault="00F51DEF" w:rsidP="00684986">
      <w:pPr>
        <w:pStyle w:val="Footnote"/>
      </w:pPr>
      <w:r w:rsidRPr="00D96AED">
        <w:rPr>
          <w:rStyle w:val="EndnoteReference"/>
        </w:rPr>
        <w:endnoteRef/>
      </w:r>
      <w:r w:rsidRPr="00D96AED">
        <w:t>I.R.C. §55(b</w:t>
      </w:r>
      <w:proofErr w:type="gramStart"/>
      <w:r w:rsidRPr="00D96AED">
        <w:t>)(</w:t>
      </w:r>
      <w:proofErr w:type="gramEnd"/>
      <w:r w:rsidRPr="00D96AED">
        <w:t>2)(A).</w:t>
      </w:r>
    </w:p>
  </w:endnote>
  <w:endnote w:id="6">
    <w:p w:rsidR="00F51DEF" w:rsidRPr="00D96AED" w:rsidRDefault="00F51DEF" w:rsidP="00684986">
      <w:pPr>
        <w:pStyle w:val="Footnote"/>
      </w:pPr>
      <w:r w:rsidRPr="00D96AED">
        <w:rPr>
          <w:rStyle w:val="EndnoteReference"/>
        </w:rPr>
        <w:endnoteRef/>
      </w:r>
      <w:r w:rsidRPr="00D96AED">
        <w:t>I.R.C. §55(b</w:t>
      </w:r>
      <w:proofErr w:type="gramStart"/>
      <w:r w:rsidRPr="00D96AED">
        <w:t>)(</w:t>
      </w:r>
      <w:proofErr w:type="gramEnd"/>
      <w:r w:rsidRPr="00D96AED">
        <w:t>2)(B).</w:t>
      </w:r>
    </w:p>
  </w:endnote>
  <w:endnote w:id="7">
    <w:p w:rsidR="00F51DEF" w:rsidRPr="00D96AED" w:rsidRDefault="00F51DEF" w:rsidP="00684986">
      <w:pPr>
        <w:pStyle w:val="Footnote"/>
      </w:pPr>
      <w:r w:rsidRPr="00D96AED">
        <w:rPr>
          <w:rStyle w:val="EndnoteReference"/>
        </w:rPr>
        <w:endnoteRef/>
      </w:r>
      <w:r w:rsidRPr="00D96AED">
        <w:t>I.R.C. §55(d</w:t>
      </w:r>
      <w:proofErr w:type="gramStart"/>
      <w:r w:rsidRPr="00D96AED">
        <w:t>)(</w:t>
      </w:r>
      <w:proofErr w:type="gramEnd"/>
      <w:r w:rsidRPr="00D96AED">
        <w:t>1).</w:t>
      </w:r>
    </w:p>
  </w:endnote>
  <w:endnote w:id="8">
    <w:p w:rsidR="00F51DEF" w:rsidRPr="00D96AED" w:rsidRDefault="00F51DEF" w:rsidP="00684986">
      <w:pPr>
        <w:pStyle w:val="Footnote"/>
      </w:pPr>
      <w:r w:rsidRPr="00D96AED">
        <w:rPr>
          <w:rStyle w:val="EndnoteReference"/>
        </w:rPr>
        <w:endnoteRef/>
      </w:r>
      <w:r w:rsidRPr="00D96AED">
        <w:t>I.R.C. §55(d</w:t>
      </w:r>
      <w:proofErr w:type="gramStart"/>
      <w:r w:rsidRPr="00D96AED">
        <w:t>)(</w:t>
      </w:r>
      <w:proofErr w:type="gramEnd"/>
      <w:r w:rsidRPr="00D96AED">
        <w:t>3).</w:t>
      </w:r>
    </w:p>
  </w:endnote>
  <w:endnote w:id="9">
    <w:p w:rsidR="00F51DEF" w:rsidRPr="00D96AED" w:rsidRDefault="00F51DEF" w:rsidP="00684986">
      <w:pPr>
        <w:pStyle w:val="Footnote"/>
      </w:pPr>
      <w:r w:rsidRPr="00D96AED">
        <w:rPr>
          <w:rStyle w:val="EndnoteReference"/>
        </w:rPr>
        <w:endnoteRef/>
      </w:r>
      <w:r w:rsidRPr="00D96AED">
        <w:t>I.R.C. §55(d</w:t>
      </w:r>
      <w:proofErr w:type="gramStart"/>
      <w:r w:rsidRPr="00D96AED">
        <w:t>)(</w:t>
      </w:r>
      <w:proofErr w:type="gramEnd"/>
      <w:r w:rsidRPr="00D96AED">
        <w:t>3).</w:t>
      </w:r>
    </w:p>
  </w:endnote>
  <w:endnote w:id="10">
    <w:p w:rsidR="00F51DEF" w:rsidRPr="00D96AED" w:rsidRDefault="00F51DEF" w:rsidP="00684986">
      <w:pPr>
        <w:pStyle w:val="Footnote"/>
      </w:pPr>
      <w:r w:rsidRPr="00D96AED">
        <w:rPr>
          <w:rStyle w:val="EndnoteReference"/>
        </w:rPr>
        <w:endnoteRef/>
      </w:r>
      <w:r w:rsidRPr="00D96AED">
        <w:t>I.R.C. §55(b</w:t>
      </w:r>
      <w:proofErr w:type="gramStart"/>
      <w:r w:rsidRPr="00D96AED">
        <w:t>)(</w:t>
      </w:r>
      <w:proofErr w:type="gramEnd"/>
      <w:r w:rsidRPr="00D96AED">
        <w:t>2).</w:t>
      </w:r>
    </w:p>
  </w:endnote>
  <w:endnote w:id="11">
    <w:p w:rsidR="00F51DEF" w:rsidRPr="00D96AED" w:rsidRDefault="00F51DEF" w:rsidP="00684986">
      <w:pPr>
        <w:pStyle w:val="Footnote"/>
      </w:pPr>
      <w:r w:rsidRPr="00D96AED">
        <w:rPr>
          <w:rStyle w:val="EndnoteReference"/>
        </w:rPr>
        <w:endnoteRef/>
      </w:r>
      <w:r w:rsidRPr="00D96AED">
        <w:t>I.R.C. §55(b</w:t>
      </w:r>
      <w:proofErr w:type="gramStart"/>
      <w:r w:rsidRPr="00D96AED">
        <w:t>)(</w:t>
      </w:r>
      <w:proofErr w:type="gramEnd"/>
      <w:r w:rsidRPr="00D96AED">
        <w:t>2)(A).</w:t>
      </w:r>
    </w:p>
  </w:endnote>
  <w:endnote w:id="12">
    <w:p w:rsidR="00F51DEF" w:rsidRPr="00D96AED" w:rsidRDefault="00F51DEF" w:rsidP="00684986">
      <w:pPr>
        <w:pStyle w:val="Footnote"/>
      </w:pPr>
      <w:r w:rsidRPr="00D96AED">
        <w:rPr>
          <w:rStyle w:val="EndnoteReference"/>
        </w:rPr>
        <w:endnoteRef/>
      </w:r>
      <w:r w:rsidRPr="00D96AED">
        <w:t>I.R.C. §55(b</w:t>
      </w:r>
      <w:proofErr w:type="gramStart"/>
      <w:r w:rsidRPr="00D96AED">
        <w:t>)(</w:t>
      </w:r>
      <w:proofErr w:type="gramEnd"/>
      <w:r w:rsidRPr="00D96AED">
        <w:t>2)(B).</w:t>
      </w:r>
    </w:p>
  </w:endnote>
  <w:endnote w:id="13">
    <w:p w:rsidR="00F51DEF" w:rsidRPr="00D96AED" w:rsidRDefault="00F51DEF" w:rsidP="00684986">
      <w:pPr>
        <w:pStyle w:val="Footnote"/>
      </w:pPr>
      <w:r w:rsidRPr="00D96AED">
        <w:rPr>
          <w:rStyle w:val="EndnoteReference"/>
        </w:rPr>
        <w:endnoteRef/>
      </w:r>
      <w:r w:rsidRPr="00D96AED">
        <w:t>I.R.C. §56(g</w:t>
      </w:r>
      <w:proofErr w:type="gramStart"/>
      <w:r w:rsidRPr="00D96AED">
        <w:t>)(</w:t>
      </w:r>
      <w:proofErr w:type="gramEnd"/>
      <w:r w:rsidRPr="00D96AED">
        <w:t>1).</w:t>
      </w:r>
    </w:p>
  </w:endnote>
  <w:endnote w:id="14">
    <w:p w:rsidR="00F51DEF" w:rsidRPr="00D96AED" w:rsidRDefault="00F51DEF" w:rsidP="00684986">
      <w:pPr>
        <w:pStyle w:val="Footnote"/>
      </w:pPr>
      <w:r w:rsidRPr="00D96AED">
        <w:rPr>
          <w:rStyle w:val="EndnoteReference"/>
        </w:rPr>
        <w:endnoteRef/>
      </w:r>
      <w:r w:rsidRPr="00D96AED">
        <w:t>I.R.C. §56(g</w:t>
      </w:r>
      <w:proofErr w:type="gramStart"/>
      <w:r w:rsidRPr="00D96AED">
        <w:t>)(</w:t>
      </w:r>
      <w:proofErr w:type="gramEnd"/>
      <w:r w:rsidRPr="00D96AED">
        <w:t>2).</w:t>
      </w:r>
    </w:p>
  </w:endnote>
  <w:endnote w:id="15">
    <w:p w:rsidR="00F51DEF" w:rsidRPr="00D96AED" w:rsidRDefault="00F51DEF" w:rsidP="00684986">
      <w:pPr>
        <w:pStyle w:val="Footnote"/>
      </w:pPr>
      <w:r w:rsidRPr="00D96AED">
        <w:rPr>
          <w:rStyle w:val="EndnoteReference"/>
        </w:rPr>
        <w:endnoteRef/>
      </w:r>
      <w:r w:rsidRPr="00D96AED">
        <w:t>I.R.C. §56(g</w:t>
      </w:r>
      <w:proofErr w:type="gramStart"/>
      <w:r w:rsidRPr="00D96AED">
        <w:t>)(</w:t>
      </w:r>
      <w:proofErr w:type="gramEnd"/>
      <w:r w:rsidRPr="00D96AED">
        <w:t>2)(B).</w:t>
      </w:r>
    </w:p>
  </w:endnote>
  <w:endnote w:id="16">
    <w:p w:rsidR="00F51DEF" w:rsidRPr="00D96AED" w:rsidRDefault="00F51DEF" w:rsidP="00684986">
      <w:pPr>
        <w:pStyle w:val="Footnote"/>
      </w:pPr>
      <w:r w:rsidRPr="00D96AED">
        <w:rPr>
          <w:rStyle w:val="EndnoteReference"/>
        </w:rPr>
        <w:endnoteRef/>
      </w:r>
      <w:r w:rsidRPr="00D96AED">
        <w:t>I.R.C. §55(d</w:t>
      </w:r>
      <w:proofErr w:type="gramStart"/>
      <w:r w:rsidRPr="00D96AED">
        <w:t>)(</w:t>
      </w:r>
      <w:proofErr w:type="gramEnd"/>
      <w:r w:rsidRPr="00D96AED">
        <w:t>2).</w:t>
      </w:r>
    </w:p>
  </w:endnote>
  <w:endnote w:id="17">
    <w:p w:rsidR="00F51DEF" w:rsidRPr="00D96AED" w:rsidRDefault="00F51DEF" w:rsidP="00684986">
      <w:pPr>
        <w:pStyle w:val="Footnote"/>
      </w:pPr>
      <w:r w:rsidRPr="00D96AED">
        <w:rPr>
          <w:rStyle w:val="EndnoteReference"/>
        </w:rPr>
        <w:endnoteRef/>
      </w:r>
      <w:r w:rsidRPr="00D96AED">
        <w:t>I.R.C. §55(d</w:t>
      </w:r>
      <w:proofErr w:type="gramStart"/>
      <w:r w:rsidRPr="00D96AED">
        <w:t>)(</w:t>
      </w:r>
      <w:proofErr w:type="gramEnd"/>
      <w:r w:rsidRPr="00D96AED">
        <w:t>3).</w:t>
      </w:r>
    </w:p>
  </w:endnote>
  <w:endnote w:id="18">
    <w:p w:rsidR="00F51DEF" w:rsidRPr="00D96AED" w:rsidRDefault="00F51DEF" w:rsidP="00684986">
      <w:pPr>
        <w:pStyle w:val="Footnote"/>
      </w:pPr>
      <w:r w:rsidRPr="00D96AED">
        <w:rPr>
          <w:rStyle w:val="EndnoteReference"/>
        </w:rPr>
        <w:endnoteRef/>
      </w:r>
      <w:r>
        <w:t xml:space="preserve">See </w:t>
      </w:r>
      <w:r w:rsidRPr="00D96AED">
        <w:t>I.R.C. §1561(a</w:t>
      </w:r>
      <w:proofErr w:type="gramStart"/>
      <w:r w:rsidRPr="00D96AED">
        <w:t>)(</w:t>
      </w:r>
      <w:proofErr w:type="gramEnd"/>
      <w:r w:rsidRPr="00D96AED">
        <w:t>3) for groups defined under I.R.C. §1563(a).</w:t>
      </w:r>
    </w:p>
  </w:endnote>
  <w:endnote w:id="19">
    <w:p w:rsidR="00F51DEF" w:rsidRPr="00D96AED" w:rsidRDefault="00F51DEF" w:rsidP="00684986">
      <w:pPr>
        <w:pStyle w:val="Footnote"/>
      </w:pPr>
      <w:r w:rsidRPr="00D96AED">
        <w:rPr>
          <w:rStyle w:val="EndnoteReference"/>
        </w:rPr>
        <w:endnoteRef/>
      </w:r>
      <w:proofErr w:type="gramStart"/>
      <w:r w:rsidRPr="00D96AED">
        <w:t>I.R.C. §1561(a).</w:t>
      </w:r>
      <w:proofErr w:type="gramEnd"/>
    </w:p>
  </w:endnote>
  <w:endnote w:id="20">
    <w:p w:rsidR="00F51DEF" w:rsidRPr="00D96AED" w:rsidRDefault="00F51DEF" w:rsidP="00684986">
      <w:pPr>
        <w:pStyle w:val="Footnote"/>
      </w:pPr>
      <w:r w:rsidRPr="00D96AED">
        <w:rPr>
          <w:rStyle w:val="EndnoteReference"/>
        </w:rPr>
        <w:endnoteRef/>
      </w:r>
      <w:r w:rsidRPr="00D96AED">
        <w:t>I.R.C. §56(a</w:t>
      </w:r>
      <w:proofErr w:type="gramStart"/>
      <w:r w:rsidRPr="00D96AED">
        <w:t>)(</w:t>
      </w:r>
      <w:proofErr w:type="gramEnd"/>
      <w:r w:rsidRPr="00D96AED">
        <w:t>1).</w:t>
      </w:r>
    </w:p>
  </w:endnote>
  <w:endnote w:id="21">
    <w:p w:rsidR="00F51DEF" w:rsidRPr="00D96AED" w:rsidRDefault="00F51DEF" w:rsidP="00684986">
      <w:pPr>
        <w:pStyle w:val="Footnote"/>
      </w:pPr>
      <w:r w:rsidRPr="00D96AED">
        <w:rPr>
          <w:rStyle w:val="EndnoteReference"/>
        </w:rPr>
        <w:endnoteRef/>
      </w:r>
      <w:proofErr w:type="gramStart"/>
      <w:r w:rsidRPr="00D96AED">
        <w:t>1987-2 C.B. 674.</w:t>
      </w:r>
      <w:proofErr w:type="gramEnd"/>
    </w:p>
  </w:endnote>
  <w:endnote w:id="22">
    <w:p w:rsidR="00F51DEF" w:rsidRPr="00D96AED" w:rsidRDefault="00F51DEF" w:rsidP="00684986">
      <w:pPr>
        <w:pStyle w:val="Footnote"/>
      </w:pPr>
      <w:r w:rsidRPr="00D96AED">
        <w:rPr>
          <w:rStyle w:val="EndnoteReference"/>
        </w:rPr>
        <w:endnoteRef/>
      </w:r>
      <w:r w:rsidRPr="00D96AED">
        <w:t>I.R.C. §56(a</w:t>
      </w:r>
      <w:proofErr w:type="gramStart"/>
      <w:r w:rsidRPr="00D96AED">
        <w:t>)(</w:t>
      </w:r>
      <w:proofErr w:type="gramEnd"/>
      <w:r w:rsidRPr="00D96AED">
        <w:t>1)(A).</w:t>
      </w:r>
    </w:p>
  </w:endnote>
  <w:endnote w:id="23">
    <w:p w:rsidR="00F51DEF" w:rsidRPr="00D96AED" w:rsidRDefault="00F51DEF" w:rsidP="00684986">
      <w:pPr>
        <w:pStyle w:val="Footnote"/>
      </w:pPr>
      <w:r w:rsidRPr="00D96AED">
        <w:rPr>
          <w:rStyle w:val="EndnoteReference"/>
        </w:rPr>
        <w:endnoteRef/>
      </w:r>
      <w:r w:rsidRPr="00D96AED">
        <w:t>I.R.C. §168(k</w:t>
      </w:r>
      <w:proofErr w:type="gramStart"/>
      <w:r w:rsidRPr="00D96AED">
        <w:t>)(</w:t>
      </w:r>
      <w:proofErr w:type="gramEnd"/>
      <w:r w:rsidRPr="00D96AED">
        <w:t>2)(G).</w:t>
      </w:r>
    </w:p>
  </w:endnote>
  <w:endnote w:id="24">
    <w:p w:rsidR="00F51DEF" w:rsidRPr="00D96AED" w:rsidRDefault="00F51DEF" w:rsidP="00684986">
      <w:pPr>
        <w:pStyle w:val="Footnote"/>
      </w:pPr>
      <w:r w:rsidRPr="00D96AED">
        <w:rPr>
          <w:rStyle w:val="EndnoteReference"/>
        </w:rPr>
        <w:endnoteRef/>
      </w:r>
      <w:r w:rsidRPr="00D96AED">
        <w:t>Rev. Proc. 2002-33, 2002-1 CB 963.</w:t>
      </w:r>
    </w:p>
  </w:endnote>
  <w:endnote w:id="25">
    <w:p w:rsidR="00F51DEF" w:rsidRPr="00D96AED" w:rsidRDefault="00F51DEF" w:rsidP="00684986">
      <w:pPr>
        <w:pStyle w:val="Footnote"/>
      </w:pPr>
      <w:r w:rsidRPr="00D96AED">
        <w:rPr>
          <w:rStyle w:val="EndnoteReference"/>
        </w:rPr>
        <w:endnoteRef/>
      </w:r>
      <w:r w:rsidRPr="00D96AED">
        <w:t>I.R.C. §56(a</w:t>
      </w:r>
      <w:proofErr w:type="gramStart"/>
      <w:r w:rsidRPr="00D96AED">
        <w:t>)(</w:t>
      </w:r>
      <w:proofErr w:type="gramEnd"/>
      <w:r w:rsidRPr="00D96AED">
        <w:t>4).</w:t>
      </w:r>
    </w:p>
  </w:endnote>
  <w:endnote w:id="26">
    <w:p w:rsidR="00F51DEF" w:rsidRPr="00D96AED" w:rsidRDefault="00F51DEF" w:rsidP="00684986">
      <w:pPr>
        <w:pStyle w:val="Footnote"/>
      </w:pPr>
      <w:r w:rsidRPr="00D96AED">
        <w:rPr>
          <w:rStyle w:val="EndnoteReference"/>
        </w:rPr>
        <w:endnoteRef/>
      </w:r>
      <w:r w:rsidRPr="00D96AED">
        <w:t>I.R.C. §56(d</w:t>
      </w:r>
      <w:proofErr w:type="gramStart"/>
      <w:r w:rsidRPr="00D96AED">
        <w:t>)(</w:t>
      </w:r>
      <w:proofErr w:type="gramEnd"/>
      <w:r w:rsidRPr="00D96AED">
        <w:t>2).</w:t>
      </w:r>
    </w:p>
  </w:endnote>
  <w:endnote w:id="27">
    <w:p w:rsidR="00F51DEF" w:rsidRPr="00D96AED" w:rsidRDefault="00F51DEF" w:rsidP="00684986">
      <w:pPr>
        <w:pStyle w:val="Footnote"/>
      </w:pPr>
      <w:r w:rsidRPr="00D96AED">
        <w:rPr>
          <w:rStyle w:val="EndnoteReference"/>
        </w:rPr>
        <w:endnoteRef/>
      </w:r>
      <w:r w:rsidRPr="00D96AED">
        <w:t>I.R.C. §56(d</w:t>
      </w:r>
      <w:proofErr w:type="gramStart"/>
      <w:r w:rsidRPr="00D96AED">
        <w:t>)(</w:t>
      </w:r>
      <w:proofErr w:type="gramEnd"/>
      <w:r w:rsidRPr="00D96AED">
        <w:t>1)(A).</w:t>
      </w:r>
    </w:p>
  </w:endnote>
  <w:endnote w:id="28">
    <w:p w:rsidR="00F51DEF" w:rsidRPr="00D96AED" w:rsidRDefault="00F51DEF" w:rsidP="00684986">
      <w:pPr>
        <w:pStyle w:val="Footnote"/>
      </w:pPr>
      <w:r w:rsidRPr="00D96AED">
        <w:rPr>
          <w:rStyle w:val="EndnoteReference"/>
        </w:rPr>
        <w:endnoteRef/>
      </w:r>
      <w:r w:rsidRPr="00D96AED">
        <w:t>I.R.C. §56(a</w:t>
      </w:r>
      <w:proofErr w:type="gramStart"/>
      <w:r w:rsidRPr="00D96AED">
        <w:t>)(</w:t>
      </w:r>
      <w:proofErr w:type="gramEnd"/>
      <w:r w:rsidRPr="00D96AED">
        <w:t>6).</w:t>
      </w:r>
    </w:p>
  </w:endnote>
  <w:endnote w:id="29">
    <w:p w:rsidR="00F51DEF" w:rsidRPr="00D96AED" w:rsidRDefault="00F51DEF" w:rsidP="00684986">
      <w:pPr>
        <w:pStyle w:val="Footnote"/>
      </w:pPr>
      <w:r w:rsidRPr="00D96AED">
        <w:rPr>
          <w:rStyle w:val="EndnoteReference"/>
        </w:rPr>
        <w:endnoteRef/>
      </w:r>
      <w:r w:rsidRPr="00D96AED">
        <w:t>I.R.C. §56(b</w:t>
      </w:r>
      <w:proofErr w:type="gramStart"/>
      <w:r w:rsidRPr="00D96AED">
        <w:t>)(</w:t>
      </w:r>
      <w:proofErr w:type="gramEnd"/>
      <w:r w:rsidRPr="00D96AED">
        <w:t>1)(A)(i).</w:t>
      </w:r>
    </w:p>
  </w:endnote>
  <w:endnote w:id="30">
    <w:p w:rsidR="00F51DEF" w:rsidRPr="00D96AED" w:rsidRDefault="00F51DEF" w:rsidP="00684986">
      <w:pPr>
        <w:pStyle w:val="Footnote"/>
      </w:pPr>
      <w:r w:rsidRPr="00D96AED">
        <w:rPr>
          <w:rStyle w:val="EndnoteReference"/>
        </w:rPr>
        <w:endnoteRef/>
      </w:r>
      <w:r w:rsidRPr="00D96AED">
        <w:t>I.R.C. §56(b</w:t>
      </w:r>
      <w:proofErr w:type="gramStart"/>
      <w:r w:rsidRPr="00D96AED">
        <w:t>)(</w:t>
      </w:r>
      <w:proofErr w:type="gramEnd"/>
      <w:r w:rsidRPr="00D96AED">
        <w:t>1)(A)(ii).</w:t>
      </w:r>
    </w:p>
  </w:endnote>
  <w:endnote w:id="31">
    <w:p w:rsidR="00F51DEF" w:rsidRPr="00D96AED" w:rsidRDefault="00F51DEF" w:rsidP="00684986">
      <w:pPr>
        <w:pStyle w:val="Footnote"/>
      </w:pPr>
      <w:r w:rsidRPr="00D96AED">
        <w:rPr>
          <w:rStyle w:val="EndnoteReference"/>
        </w:rPr>
        <w:endnoteRef/>
      </w:r>
      <w:proofErr w:type="gramStart"/>
      <w:r w:rsidRPr="00D96AED">
        <w:t>I.R.C. §213(a).</w:t>
      </w:r>
      <w:proofErr w:type="gramEnd"/>
    </w:p>
  </w:endnote>
  <w:endnote w:id="32">
    <w:p w:rsidR="00F51DEF" w:rsidRPr="00D96AED" w:rsidRDefault="00F51DEF" w:rsidP="00684986">
      <w:pPr>
        <w:pStyle w:val="Footnote"/>
      </w:pPr>
      <w:r w:rsidRPr="00D96AED">
        <w:rPr>
          <w:rStyle w:val="EndnoteReference"/>
        </w:rPr>
        <w:endnoteRef/>
      </w:r>
      <w:r w:rsidRPr="00D96AED">
        <w:t>I.R.C. §56(b</w:t>
      </w:r>
      <w:proofErr w:type="gramStart"/>
      <w:r w:rsidRPr="00D96AED">
        <w:t>)(</w:t>
      </w:r>
      <w:proofErr w:type="gramEnd"/>
      <w:r w:rsidRPr="00D96AED">
        <w:t>1)(B).</w:t>
      </w:r>
    </w:p>
  </w:endnote>
  <w:endnote w:id="33">
    <w:p w:rsidR="00F51DEF" w:rsidRPr="00D96AED" w:rsidRDefault="00F51DEF" w:rsidP="00684986">
      <w:pPr>
        <w:pStyle w:val="Footnote"/>
      </w:pPr>
      <w:r w:rsidRPr="00D96AED">
        <w:rPr>
          <w:rStyle w:val="EndnoteReference"/>
        </w:rPr>
        <w:endnoteRef/>
      </w:r>
      <w:r w:rsidRPr="00D96AED">
        <w:t>I.R.C. §56(b</w:t>
      </w:r>
      <w:proofErr w:type="gramStart"/>
      <w:r w:rsidRPr="00D96AED">
        <w:t>)(</w:t>
      </w:r>
      <w:proofErr w:type="gramEnd"/>
      <w:r w:rsidRPr="00D96AED">
        <w:t>1)(C).</w:t>
      </w:r>
    </w:p>
  </w:endnote>
  <w:endnote w:id="34">
    <w:p w:rsidR="00F51DEF" w:rsidRPr="00D96AED" w:rsidRDefault="00F51DEF" w:rsidP="00684986">
      <w:pPr>
        <w:pStyle w:val="Footnote"/>
      </w:pPr>
      <w:r w:rsidRPr="00D96AED">
        <w:rPr>
          <w:rStyle w:val="EndnoteReference"/>
        </w:rPr>
        <w:endnoteRef/>
      </w:r>
      <w:r w:rsidRPr="00D96AED">
        <w:t>I.R.C. §56(e</w:t>
      </w:r>
      <w:proofErr w:type="gramStart"/>
      <w:r w:rsidRPr="00D96AED">
        <w:t>)(</w:t>
      </w:r>
      <w:proofErr w:type="gramEnd"/>
      <w:r w:rsidRPr="00D96AED">
        <w:t>1)(A).</w:t>
      </w:r>
    </w:p>
  </w:endnote>
  <w:endnote w:id="35">
    <w:p w:rsidR="00F51DEF" w:rsidRPr="00D96AED" w:rsidRDefault="00F51DEF" w:rsidP="00684986">
      <w:pPr>
        <w:pStyle w:val="Footnote"/>
      </w:pPr>
      <w:r w:rsidRPr="00D96AED">
        <w:rPr>
          <w:rStyle w:val="EndnoteReference"/>
        </w:rPr>
        <w:endnoteRef/>
      </w:r>
      <w:r w:rsidRPr="00D96AED">
        <w:t>I.R.C. §56(e</w:t>
      </w:r>
      <w:proofErr w:type="gramStart"/>
      <w:r w:rsidRPr="00D96AED">
        <w:t>)(</w:t>
      </w:r>
      <w:proofErr w:type="gramEnd"/>
      <w:r w:rsidRPr="00D96AED">
        <w:t>1)(B).</w:t>
      </w:r>
    </w:p>
  </w:endnote>
  <w:endnote w:id="36">
    <w:p w:rsidR="00F51DEF" w:rsidRPr="00D96AED" w:rsidRDefault="00F51DEF" w:rsidP="00684986">
      <w:pPr>
        <w:pStyle w:val="Footnote"/>
      </w:pPr>
      <w:r w:rsidRPr="00D96AED">
        <w:rPr>
          <w:rStyle w:val="EndnoteReference"/>
        </w:rPr>
        <w:endnoteRef/>
      </w:r>
      <w:r w:rsidRPr="00D96AED">
        <w:t>I.R.C. §56(b</w:t>
      </w:r>
      <w:proofErr w:type="gramStart"/>
      <w:r w:rsidRPr="00D96AED">
        <w:t>)(</w:t>
      </w:r>
      <w:proofErr w:type="gramEnd"/>
      <w:r w:rsidRPr="00D96AED">
        <w:t>1)(D).</w:t>
      </w:r>
    </w:p>
  </w:endnote>
  <w:endnote w:id="37">
    <w:p w:rsidR="00F51DEF" w:rsidRPr="00D96AED" w:rsidRDefault="00F51DEF" w:rsidP="00684986">
      <w:pPr>
        <w:pStyle w:val="Footnote"/>
      </w:pPr>
      <w:r w:rsidRPr="00D96AED">
        <w:rPr>
          <w:rStyle w:val="EndnoteReference"/>
        </w:rPr>
        <w:endnoteRef/>
      </w:r>
      <w:r w:rsidRPr="00D96AED">
        <w:t>I.R.C. §56(b</w:t>
      </w:r>
      <w:proofErr w:type="gramStart"/>
      <w:r w:rsidRPr="00D96AED">
        <w:t>)(</w:t>
      </w:r>
      <w:proofErr w:type="gramEnd"/>
      <w:r w:rsidRPr="00D96AED">
        <w:t>1)(E).</w:t>
      </w:r>
    </w:p>
  </w:endnote>
  <w:endnote w:id="38">
    <w:p w:rsidR="00F51DEF" w:rsidRPr="00D96AED" w:rsidRDefault="00F51DEF" w:rsidP="00684986">
      <w:pPr>
        <w:pStyle w:val="Footnote"/>
      </w:pPr>
      <w:r w:rsidRPr="00D96AED">
        <w:rPr>
          <w:rStyle w:val="EndnoteReference"/>
        </w:rPr>
        <w:endnoteRef/>
      </w:r>
      <w:proofErr w:type="gramStart"/>
      <w:r w:rsidRPr="00D96AED">
        <w:t>I.R.C. §421(a).</w:t>
      </w:r>
      <w:proofErr w:type="gramEnd"/>
    </w:p>
  </w:endnote>
  <w:endnote w:id="39">
    <w:p w:rsidR="00F51DEF" w:rsidRPr="00D96AED" w:rsidRDefault="00F51DEF" w:rsidP="00684986">
      <w:pPr>
        <w:pStyle w:val="Footnote"/>
      </w:pPr>
      <w:r w:rsidRPr="00D96AED">
        <w:rPr>
          <w:rStyle w:val="EndnoteReference"/>
        </w:rPr>
        <w:endnoteRef/>
      </w:r>
      <w:r w:rsidRPr="00D96AED">
        <w:t>I.R.C. §422(a</w:t>
      </w:r>
      <w:proofErr w:type="gramStart"/>
      <w:r w:rsidRPr="00D96AED">
        <w:t>)(</w:t>
      </w:r>
      <w:proofErr w:type="gramEnd"/>
      <w:r w:rsidRPr="00D96AED">
        <w:t>1).</w:t>
      </w:r>
    </w:p>
  </w:endnote>
  <w:endnote w:id="40">
    <w:p w:rsidR="00F51DEF" w:rsidRPr="00D96AED" w:rsidRDefault="00F51DEF" w:rsidP="00684986">
      <w:pPr>
        <w:pStyle w:val="Footnote"/>
      </w:pPr>
      <w:r w:rsidRPr="00D96AED">
        <w:rPr>
          <w:rStyle w:val="EndnoteReference"/>
        </w:rPr>
        <w:endnoteRef/>
      </w:r>
      <w:r w:rsidRPr="00D96AED">
        <w:t>I.R.C. §56(b</w:t>
      </w:r>
      <w:proofErr w:type="gramStart"/>
      <w:r w:rsidRPr="00D96AED">
        <w:t>)(</w:t>
      </w:r>
      <w:proofErr w:type="gramEnd"/>
      <w:r w:rsidRPr="00D96AED">
        <w:t>3).</w:t>
      </w:r>
    </w:p>
  </w:endnote>
  <w:endnote w:id="41">
    <w:p w:rsidR="00F51DEF" w:rsidRPr="00D96AED" w:rsidRDefault="00F51DEF" w:rsidP="00684986">
      <w:pPr>
        <w:pStyle w:val="Footnote"/>
      </w:pPr>
      <w:r w:rsidRPr="00D96AED">
        <w:rPr>
          <w:rStyle w:val="EndnoteReference"/>
        </w:rPr>
        <w:endnoteRef/>
      </w:r>
      <w:proofErr w:type="gramStart"/>
      <w:r w:rsidRPr="00D96AED">
        <w:t>I.R.C. §58(b).</w:t>
      </w:r>
      <w:proofErr w:type="gramEnd"/>
    </w:p>
  </w:endnote>
  <w:endnote w:id="42">
    <w:p w:rsidR="00F51DEF" w:rsidRPr="00D96AED" w:rsidRDefault="00F51DEF" w:rsidP="00684986">
      <w:pPr>
        <w:pStyle w:val="Footnote"/>
      </w:pPr>
      <w:r w:rsidRPr="00D96AED">
        <w:rPr>
          <w:rStyle w:val="EndnoteReference"/>
        </w:rPr>
        <w:endnoteRef/>
      </w:r>
      <w:r w:rsidRPr="00D96AED">
        <w:t>I.R.C. §56(c</w:t>
      </w:r>
      <w:proofErr w:type="gramStart"/>
      <w:r w:rsidRPr="00D96AED">
        <w:t>)(</w:t>
      </w:r>
      <w:proofErr w:type="gramEnd"/>
      <w:r w:rsidRPr="00D96AED">
        <w:t>1).</w:t>
      </w:r>
    </w:p>
  </w:endnote>
  <w:endnote w:id="43">
    <w:p w:rsidR="00F51DEF" w:rsidRPr="00D96AED" w:rsidRDefault="00F51DEF" w:rsidP="00684986">
      <w:pPr>
        <w:pStyle w:val="Footnote"/>
      </w:pPr>
      <w:r w:rsidRPr="00D96AED">
        <w:rPr>
          <w:rStyle w:val="EndnoteReference"/>
        </w:rPr>
        <w:endnoteRef/>
      </w:r>
      <w:r w:rsidRPr="00D96AED">
        <w:t>I.R.C. §170(b</w:t>
      </w:r>
      <w:proofErr w:type="gramStart"/>
      <w:r w:rsidRPr="00D96AED">
        <w:t>)(</w:t>
      </w:r>
      <w:proofErr w:type="gramEnd"/>
      <w:r w:rsidRPr="00D96AED">
        <w:t>1).</w:t>
      </w:r>
    </w:p>
  </w:endnote>
  <w:endnote w:id="44">
    <w:p w:rsidR="00F51DEF" w:rsidRPr="00D96AED" w:rsidRDefault="00F51DEF" w:rsidP="00684986">
      <w:pPr>
        <w:pStyle w:val="Footnote"/>
      </w:pPr>
      <w:r w:rsidRPr="00D96AED">
        <w:rPr>
          <w:rStyle w:val="EndnoteReference"/>
        </w:rPr>
        <w:endnoteRef/>
      </w:r>
      <w:proofErr w:type="gramStart"/>
      <w:r w:rsidRPr="00D96AED">
        <w:t>TAM 9320003.</w:t>
      </w:r>
      <w:proofErr w:type="gramEnd"/>
    </w:p>
  </w:endnote>
  <w:endnote w:id="45">
    <w:p w:rsidR="00F51DEF" w:rsidRPr="00D96AED" w:rsidRDefault="00F51DEF" w:rsidP="00684986">
      <w:pPr>
        <w:pStyle w:val="Footnote"/>
      </w:pPr>
      <w:r w:rsidRPr="00D96AED">
        <w:rPr>
          <w:rStyle w:val="EndnoteReference"/>
        </w:rPr>
        <w:endnoteRef/>
      </w:r>
      <w:r w:rsidRPr="00D96AED">
        <w:t>I.R.C. §56(g</w:t>
      </w:r>
      <w:proofErr w:type="gramStart"/>
      <w:r w:rsidRPr="00D96AED">
        <w:t>)(</w:t>
      </w:r>
      <w:proofErr w:type="gramEnd"/>
      <w:r w:rsidRPr="00D96AED">
        <w:t>3).</w:t>
      </w:r>
    </w:p>
  </w:endnote>
  <w:endnote w:id="46">
    <w:p w:rsidR="00F51DEF" w:rsidRPr="00D96AED" w:rsidRDefault="00F51DEF" w:rsidP="00684986">
      <w:pPr>
        <w:pStyle w:val="Footnote"/>
      </w:pPr>
      <w:r w:rsidRPr="00D96AED">
        <w:rPr>
          <w:rStyle w:val="EndnoteReference"/>
        </w:rPr>
        <w:endnoteRef/>
      </w:r>
      <w:r w:rsidRPr="00D96AED">
        <w:t>I.R.C. §56(g</w:t>
      </w:r>
      <w:proofErr w:type="gramStart"/>
      <w:r w:rsidRPr="00D96AED">
        <w:t>)(</w:t>
      </w:r>
      <w:proofErr w:type="gramEnd"/>
      <w:r w:rsidRPr="00D96AED">
        <w:t>4)(A)(ii).</w:t>
      </w:r>
    </w:p>
  </w:endnote>
  <w:endnote w:id="47">
    <w:p w:rsidR="00F51DEF" w:rsidRPr="00D96AED" w:rsidRDefault="00F51DEF" w:rsidP="00684986">
      <w:pPr>
        <w:pStyle w:val="Footnote"/>
      </w:pPr>
      <w:r w:rsidRPr="00D96AED">
        <w:rPr>
          <w:rStyle w:val="EndnoteReference"/>
        </w:rPr>
        <w:endnoteRef/>
      </w:r>
      <w:r w:rsidRPr="00D96AED">
        <w:t>I.R.C. §56(g</w:t>
      </w:r>
      <w:proofErr w:type="gramStart"/>
      <w:r w:rsidRPr="00D96AED">
        <w:t>)(</w:t>
      </w:r>
      <w:proofErr w:type="gramEnd"/>
      <w:r w:rsidRPr="00D96AED">
        <w:t>4)(A)(iii).</w:t>
      </w:r>
    </w:p>
  </w:endnote>
  <w:endnote w:id="48">
    <w:p w:rsidR="00F51DEF" w:rsidRPr="00D96AED" w:rsidRDefault="00F51DEF" w:rsidP="00684986">
      <w:pPr>
        <w:pStyle w:val="Footnote"/>
      </w:pPr>
      <w:r w:rsidRPr="00D96AED">
        <w:rPr>
          <w:rStyle w:val="EndnoteReference"/>
        </w:rPr>
        <w:endnoteRef/>
      </w:r>
      <w:r w:rsidRPr="00D96AED">
        <w:t>I.R.C. §56(g</w:t>
      </w:r>
      <w:proofErr w:type="gramStart"/>
      <w:r w:rsidRPr="00D96AED">
        <w:t>)(</w:t>
      </w:r>
      <w:proofErr w:type="gramEnd"/>
      <w:r w:rsidRPr="00D96AED">
        <w:t>4)(A)(i).</w:t>
      </w:r>
    </w:p>
  </w:endnote>
  <w:endnote w:id="49">
    <w:p w:rsidR="00F51DEF" w:rsidRPr="00D96AED" w:rsidRDefault="00F51DEF" w:rsidP="00684986">
      <w:pPr>
        <w:pStyle w:val="Footnote"/>
      </w:pPr>
      <w:r w:rsidRPr="00D96AED">
        <w:rPr>
          <w:rStyle w:val="EndnoteReference"/>
        </w:rPr>
        <w:endnoteRef/>
      </w:r>
      <w:r w:rsidRPr="00D96AED">
        <w:t>I.R.C. §56(g</w:t>
      </w:r>
      <w:proofErr w:type="gramStart"/>
      <w:r w:rsidRPr="00D96AED">
        <w:t>)(</w:t>
      </w:r>
      <w:proofErr w:type="gramEnd"/>
      <w:r w:rsidRPr="00D96AED">
        <w:t>4)(B)(i)(I).</w:t>
      </w:r>
    </w:p>
  </w:endnote>
  <w:endnote w:id="50">
    <w:p w:rsidR="00F51DEF" w:rsidRPr="00D96AED" w:rsidRDefault="00F51DEF" w:rsidP="00684986">
      <w:pPr>
        <w:pStyle w:val="Footnote"/>
      </w:pPr>
      <w:r w:rsidRPr="00D96AED">
        <w:rPr>
          <w:rStyle w:val="EndnoteReference"/>
        </w:rPr>
        <w:endnoteRef/>
      </w:r>
      <w:r w:rsidRPr="00D96AED">
        <w:t>I.R.C. §56(g</w:t>
      </w:r>
      <w:proofErr w:type="gramStart"/>
      <w:r w:rsidRPr="00D96AED">
        <w:t>)(</w:t>
      </w:r>
      <w:proofErr w:type="gramEnd"/>
      <w:r w:rsidRPr="00D96AED">
        <w:t>4)(B)(i)(II).</w:t>
      </w:r>
    </w:p>
  </w:endnote>
  <w:endnote w:id="51">
    <w:p w:rsidR="00F51DEF" w:rsidRPr="00D96AED" w:rsidRDefault="00F51DEF" w:rsidP="00684986">
      <w:pPr>
        <w:pStyle w:val="Footnote"/>
      </w:pPr>
      <w:r w:rsidRPr="00D96AED">
        <w:rPr>
          <w:rStyle w:val="EndnoteReference"/>
        </w:rPr>
        <w:endnoteRef/>
      </w:r>
      <w:r w:rsidRPr="00D96AED">
        <w:t>I.R.C. §56(g</w:t>
      </w:r>
      <w:proofErr w:type="gramStart"/>
      <w:r w:rsidRPr="00D96AED">
        <w:t>)(</w:t>
      </w:r>
      <w:proofErr w:type="gramEnd"/>
      <w:r w:rsidRPr="00D96AED">
        <w:t>4)(C)(ii).</w:t>
      </w:r>
    </w:p>
  </w:endnote>
  <w:endnote w:id="52">
    <w:p w:rsidR="00F51DEF" w:rsidRPr="00D96AED" w:rsidRDefault="00F51DEF" w:rsidP="00684986">
      <w:pPr>
        <w:pStyle w:val="Footnote"/>
      </w:pPr>
      <w:r w:rsidRPr="00D96AED">
        <w:rPr>
          <w:rStyle w:val="EndnoteReference"/>
        </w:rPr>
        <w:endnoteRef/>
      </w:r>
      <w:r w:rsidRPr="00D96AED">
        <w:t>I.R.C. §56(g</w:t>
      </w:r>
      <w:proofErr w:type="gramStart"/>
      <w:r w:rsidRPr="00D96AED">
        <w:t>)(</w:t>
      </w:r>
      <w:proofErr w:type="gramEnd"/>
      <w:r w:rsidRPr="00D96AED">
        <w:t>4)(D)(i).</w:t>
      </w:r>
    </w:p>
  </w:endnote>
  <w:endnote w:id="53">
    <w:p w:rsidR="00F51DEF" w:rsidRPr="00D96AED" w:rsidRDefault="00F51DEF" w:rsidP="00684986">
      <w:pPr>
        <w:pStyle w:val="Footnote"/>
      </w:pPr>
      <w:r w:rsidRPr="00D96AED">
        <w:rPr>
          <w:rStyle w:val="EndnoteReference"/>
        </w:rPr>
        <w:endnoteRef/>
      </w:r>
      <w:r w:rsidRPr="00D96AED">
        <w:t>I.R.C. §56(g</w:t>
      </w:r>
      <w:proofErr w:type="gramStart"/>
      <w:r w:rsidRPr="00D96AED">
        <w:t>)(</w:t>
      </w:r>
      <w:proofErr w:type="gramEnd"/>
      <w:r w:rsidRPr="00D96AED">
        <w:t>4)(D)(ii).</w:t>
      </w:r>
    </w:p>
  </w:endnote>
  <w:endnote w:id="54">
    <w:p w:rsidR="00F51DEF" w:rsidRPr="00D96AED" w:rsidRDefault="00F51DEF" w:rsidP="00684986">
      <w:pPr>
        <w:pStyle w:val="Footnote"/>
      </w:pPr>
      <w:r w:rsidRPr="00D96AED">
        <w:rPr>
          <w:rStyle w:val="EndnoteReference"/>
        </w:rPr>
        <w:endnoteRef/>
      </w:r>
      <w:r w:rsidRPr="00D96AED">
        <w:t>I.R.C. §56(g</w:t>
      </w:r>
      <w:proofErr w:type="gramStart"/>
      <w:r w:rsidRPr="00D96AED">
        <w:t>)(</w:t>
      </w:r>
      <w:proofErr w:type="gramEnd"/>
      <w:r w:rsidRPr="00D96AED">
        <w:t>4)(D)(iii).</w:t>
      </w:r>
    </w:p>
  </w:endnote>
  <w:endnote w:id="55">
    <w:p w:rsidR="00F51DEF" w:rsidRPr="00D96AED" w:rsidRDefault="00F51DEF" w:rsidP="00684986">
      <w:pPr>
        <w:pStyle w:val="Footnote"/>
      </w:pPr>
      <w:r w:rsidRPr="00D96AED">
        <w:rPr>
          <w:rStyle w:val="EndnoteReference"/>
        </w:rPr>
        <w:endnoteRef/>
      </w:r>
      <w:r w:rsidRPr="00D96AED">
        <w:t>I.R.C. §56(g</w:t>
      </w:r>
      <w:proofErr w:type="gramStart"/>
      <w:r w:rsidRPr="00D96AED">
        <w:t>)(</w:t>
      </w:r>
      <w:proofErr w:type="gramEnd"/>
      <w:r w:rsidRPr="00D96AED">
        <w:t>4)(D)(iv).</w:t>
      </w:r>
    </w:p>
  </w:endnote>
  <w:endnote w:id="56">
    <w:p w:rsidR="00F51DEF" w:rsidRPr="00D96AED" w:rsidRDefault="00F51DEF" w:rsidP="00684986">
      <w:pPr>
        <w:pStyle w:val="Footnote"/>
      </w:pPr>
      <w:r w:rsidRPr="00D96AED">
        <w:rPr>
          <w:rStyle w:val="EndnoteReference"/>
        </w:rPr>
        <w:endnoteRef/>
      </w:r>
      <w:r w:rsidRPr="00D96AED">
        <w:t>I.R.C. §56(g</w:t>
      </w:r>
      <w:proofErr w:type="gramStart"/>
      <w:r w:rsidRPr="00D96AED">
        <w:t>)(</w:t>
      </w:r>
      <w:proofErr w:type="gramEnd"/>
      <w:r w:rsidRPr="00D96AED">
        <w:t>4)(B)(i).</w:t>
      </w:r>
    </w:p>
  </w:endnote>
  <w:endnote w:id="57">
    <w:p w:rsidR="00F51DEF" w:rsidRPr="00D96AED" w:rsidRDefault="00F51DEF" w:rsidP="00684986">
      <w:pPr>
        <w:pStyle w:val="Footnote"/>
      </w:pPr>
      <w:r w:rsidRPr="00D96AED">
        <w:rPr>
          <w:rStyle w:val="EndnoteReference"/>
        </w:rPr>
        <w:endnoteRef/>
      </w:r>
      <w:r w:rsidRPr="00D96AED">
        <w:t>I.R.C. §56(g</w:t>
      </w:r>
      <w:proofErr w:type="gramStart"/>
      <w:r w:rsidRPr="00D96AED">
        <w:t>)(</w:t>
      </w:r>
      <w:proofErr w:type="gramEnd"/>
      <w:r w:rsidRPr="00D96AED">
        <w:t>4)(I).</w:t>
      </w:r>
    </w:p>
  </w:endnote>
  <w:endnote w:id="58">
    <w:p w:rsidR="00F51DEF" w:rsidRPr="00D96AED" w:rsidRDefault="00F51DEF" w:rsidP="00684986">
      <w:pPr>
        <w:pStyle w:val="Footnote"/>
      </w:pPr>
      <w:r w:rsidRPr="00D96AED">
        <w:rPr>
          <w:rStyle w:val="EndnoteReference"/>
        </w:rPr>
        <w:endnoteRef/>
      </w:r>
      <w:r w:rsidRPr="00D96AED">
        <w:t>I.R.C. §56(g</w:t>
      </w:r>
      <w:proofErr w:type="gramStart"/>
      <w:r w:rsidRPr="00D96AED">
        <w:t>)(</w:t>
      </w:r>
      <w:proofErr w:type="gramEnd"/>
      <w:r w:rsidRPr="00D96AED">
        <w:t>1).</w:t>
      </w:r>
    </w:p>
  </w:endnote>
  <w:endnote w:id="59">
    <w:p w:rsidR="00F51DEF" w:rsidRPr="00D96AED" w:rsidRDefault="00F51DEF" w:rsidP="00684986">
      <w:pPr>
        <w:pStyle w:val="Footnote"/>
      </w:pPr>
      <w:r w:rsidRPr="00D96AED">
        <w:rPr>
          <w:rStyle w:val="EndnoteReference"/>
        </w:rPr>
        <w:endnoteRef/>
      </w:r>
      <w:r w:rsidRPr="00D96AED">
        <w:t>I.R.C. §56(g</w:t>
      </w:r>
      <w:proofErr w:type="gramStart"/>
      <w:r w:rsidRPr="00D96AED">
        <w:t>)(</w:t>
      </w:r>
      <w:proofErr w:type="gramEnd"/>
      <w:r w:rsidRPr="00D96AED">
        <w:t>2).</w:t>
      </w:r>
    </w:p>
  </w:endnote>
  <w:endnote w:id="60">
    <w:p w:rsidR="00F51DEF" w:rsidRPr="00D96AED" w:rsidRDefault="00F51DEF" w:rsidP="00684986">
      <w:pPr>
        <w:pStyle w:val="Footnote"/>
      </w:pPr>
      <w:r w:rsidRPr="00D96AED">
        <w:rPr>
          <w:rStyle w:val="EndnoteReference"/>
        </w:rPr>
        <w:endnoteRef/>
      </w:r>
      <w:r w:rsidRPr="00D96AED">
        <w:t>I.R.C. §56(g</w:t>
      </w:r>
      <w:proofErr w:type="gramStart"/>
      <w:r w:rsidRPr="00D96AED">
        <w:t>)(</w:t>
      </w:r>
      <w:proofErr w:type="gramEnd"/>
      <w:r w:rsidRPr="00D96AED">
        <w:t>2)(B).</w:t>
      </w:r>
    </w:p>
  </w:endnote>
  <w:endnote w:id="61">
    <w:p w:rsidR="00F51DEF" w:rsidRPr="00D96AED" w:rsidRDefault="00F51DEF" w:rsidP="00684986">
      <w:pPr>
        <w:pStyle w:val="Footnote"/>
      </w:pPr>
      <w:r w:rsidRPr="00D96AED">
        <w:rPr>
          <w:rStyle w:val="EndnoteReference"/>
        </w:rPr>
        <w:endnoteRef/>
      </w:r>
      <w:r w:rsidRPr="00D96AED">
        <w:t>I.R.C. §57(a</w:t>
      </w:r>
      <w:proofErr w:type="gramStart"/>
      <w:r w:rsidRPr="00D96AED">
        <w:t>)(</w:t>
      </w:r>
      <w:proofErr w:type="gramEnd"/>
      <w:r w:rsidRPr="00D96AED">
        <w:t>1).</w:t>
      </w:r>
    </w:p>
  </w:endnote>
  <w:endnote w:id="62">
    <w:p w:rsidR="00F51DEF" w:rsidRPr="00D96AED" w:rsidRDefault="00F51DEF" w:rsidP="00684986">
      <w:pPr>
        <w:pStyle w:val="Footnote"/>
      </w:pPr>
      <w:r w:rsidRPr="00D96AED">
        <w:rPr>
          <w:rStyle w:val="EndnoteReference"/>
        </w:rPr>
        <w:endnoteRef/>
      </w:r>
      <w:r w:rsidRPr="00D96AED">
        <w:t>I.R.C. §57(a</w:t>
      </w:r>
      <w:proofErr w:type="gramStart"/>
      <w:r w:rsidRPr="00D96AED">
        <w:t>)(</w:t>
      </w:r>
      <w:proofErr w:type="gramEnd"/>
      <w:r w:rsidRPr="00D96AED">
        <w:t>2)(A).</w:t>
      </w:r>
    </w:p>
  </w:endnote>
  <w:endnote w:id="63">
    <w:p w:rsidR="006F68C5" w:rsidRPr="00D96AED" w:rsidRDefault="006F68C5" w:rsidP="00684986">
      <w:pPr>
        <w:pStyle w:val="Footnote"/>
      </w:pPr>
      <w:r w:rsidRPr="00D96AED">
        <w:rPr>
          <w:rStyle w:val="EndnoteReference"/>
        </w:rPr>
        <w:endnoteRef/>
      </w:r>
      <w:r w:rsidRPr="00D96AED">
        <w:t>I.R.C. §§57(a</w:t>
      </w:r>
      <w:proofErr w:type="gramStart"/>
      <w:r w:rsidRPr="00D96AED">
        <w:t>)(</w:t>
      </w:r>
      <w:proofErr w:type="gramEnd"/>
      <w:r w:rsidRPr="00D96AED">
        <w:t>2)(B) and 57(b)(1).</w:t>
      </w:r>
    </w:p>
  </w:endnote>
  <w:endnote w:id="64">
    <w:p w:rsidR="00F51DEF" w:rsidRPr="00D96AED" w:rsidRDefault="00F51DEF" w:rsidP="00684986">
      <w:pPr>
        <w:pStyle w:val="Footnote"/>
      </w:pPr>
      <w:r w:rsidRPr="00D96AED">
        <w:rPr>
          <w:rStyle w:val="EndnoteReference"/>
        </w:rPr>
        <w:endnoteRef/>
      </w:r>
      <w:r w:rsidRPr="00D96AED">
        <w:t>I.R.C. §57(a</w:t>
      </w:r>
      <w:proofErr w:type="gramStart"/>
      <w:r w:rsidRPr="00D96AED">
        <w:t>)(</w:t>
      </w:r>
      <w:proofErr w:type="gramEnd"/>
      <w:r w:rsidRPr="00D96AED">
        <w:t>5)(A).</w:t>
      </w:r>
    </w:p>
  </w:endnote>
  <w:endnote w:id="65">
    <w:p w:rsidR="006F68C5" w:rsidRPr="00D96AED" w:rsidRDefault="006F68C5" w:rsidP="00684986">
      <w:pPr>
        <w:pStyle w:val="Footnote"/>
      </w:pPr>
      <w:r w:rsidRPr="00D96AED">
        <w:rPr>
          <w:rStyle w:val="EndnoteReference"/>
        </w:rPr>
        <w:endnoteRef/>
      </w:r>
      <w:r w:rsidRPr="00D96AED">
        <w:t>I.R.C. §57(a</w:t>
      </w:r>
      <w:proofErr w:type="gramStart"/>
      <w:r w:rsidRPr="00D96AED">
        <w:t>)(</w:t>
      </w:r>
      <w:proofErr w:type="gramEnd"/>
      <w:r w:rsidRPr="00D96AED">
        <w:t>5)(C)(i).</w:t>
      </w:r>
    </w:p>
  </w:endnote>
  <w:endnote w:id="66">
    <w:p w:rsidR="006F68C5" w:rsidRPr="00D96AED" w:rsidRDefault="006F68C5" w:rsidP="00684986">
      <w:pPr>
        <w:pStyle w:val="Footnote"/>
      </w:pPr>
      <w:r w:rsidRPr="00D96AED">
        <w:rPr>
          <w:rStyle w:val="EndnoteReference"/>
        </w:rPr>
        <w:endnoteRef/>
      </w:r>
      <w:r w:rsidRPr="00D96AED">
        <w:t>I.R.C. §57(a</w:t>
      </w:r>
      <w:proofErr w:type="gramStart"/>
      <w:r w:rsidRPr="00D96AED">
        <w:t>)(</w:t>
      </w:r>
      <w:proofErr w:type="gramEnd"/>
      <w:r w:rsidRPr="00D96AED">
        <w:t>5)(B).</w:t>
      </w:r>
    </w:p>
  </w:endnote>
  <w:endnote w:id="67">
    <w:p w:rsidR="006F68C5" w:rsidRPr="00D96AED" w:rsidRDefault="006F68C5" w:rsidP="00684986">
      <w:pPr>
        <w:pStyle w:val="Footnote"/>
      </w:pPr>
      <w:r w:rsidRPr="00D96AED">
        <w:rPr>
          <w:rStyle w:val="EndnoteReference"/>
        </w:rPr>
        <w:endnoteRef/>
      </w:r>
      <w:r w:rsidRPr="00D96AED">
        <w:t>I.R.C. §1202(a</w:t>
      </w:r>
      <w:proofErr w:type="gramStart"/>
      <w:r w:rsidRPr="00D96AED">
        <w:t>)(</w:t>
      </w:r>
      <w:proofErr w:type="gramEnd"/>
      <w:r w:rsidRPr="00D96AED">
        <w:t>1).</w:t>
      </w:r>
    </w:p>
  </w:endnote>
  <w:endnote w:id="68">
    <w:p w:rsidR="00F51DEF" w:rsidRPr="00D96AED" w:rsidRDefault="00F51DEF" w:rsidP="00684986">
      <w:pPr>
        <w:pStyle w:val="Footnote"/>
      </w:pPr>
      <w:r w:rsidRPr="00D96AED">
        <w:rPr>
          <w:rStyle w:val="EndnoteReference"/>
        </w:rPr>
        <w:endnoteRef/>
      </w:r>
      <w:r w:rsidRPr="00D96AED">
        <w:t>I.R.C. §1202(c</w:t>
      </w:r>
      <w:proofErr w:type="gramStart"/>
      <w:r w:rsidRPr="00D96AED">
        <w:t>)(</w:t>
      </w:r>
      <w:proofErr w:type="gramEnd"/>
      <w:r w:rsidRPr="00D96AED">
        <w:t>1).</w:t>
      </w:r>
    </w:p>
  </w:endnote>
  <w:endnote w:id="69">
    <w:p w:rsidR="00F51DEF" w:rsidRPr="00D96AED" w:rsidRDefault="00F51DEF" w:rsidP="00684986">
      <w:pPr>
        <w:pStyle w:val="Footnote"/>
      </w:pPr>
      <w:r w:rsidRPr="00D96AED">
        <w:rPr>
          <w:rStyle w:val="EndnoteReference"/>
        </w:rPr>
        <w:endnoteRef/>
      </w:r>
      <w:r w:rsidRPr="00D96AED">
        <w:t>I.R.C. §1202(c</w:t>
      </w:r>
      <w:proofErr w:type="gramStart"/>
      <w:r w:rsidRPr="00D96AED">
        <w:t>)(</w:t>
      </w:r>
      <w:proofErr w:type="gramEnd"/>
      <w:r w:rsidRPr="00D96AED">
        <w:t>1)(B).</w:t>
      </w:r>
    </w:p>
  </w:endnote>
  <w:endnote w:id="70">
    <w:p w:rsidR="00F51DEF" w:rsidRPr="00D96AED" w:rsidRDefault="00F51DEF" w:rsidP="00684986">
      <w:pPr>
        <w:pStyle w:val="Footnote"/>
      </w:pPr>
      <w:r w:rsidRPr="00D96AED">
        <w:rPr>
          <w:rStyle w:val="EndnoteReference"/>
        </w:rPr>
        <w:endnoteRef/>
      </w:r>
      <w:r w:rsidRPr="00D96AED">
        <w:t>I.R.C. §1202(c</w:t>
      </w:r>
      <w:proofErr w:type="gramStart"/>
      <w:r w:rsidRPr="00D96AED">
        <w:t>)(</w:t>
      </w:r>
      <w:proofErr w:type="gramEnd"/>
      <w:r w:rsidRPr="00D96AED">
        <w:t>2).</w:t>
      </w:r>
    </w:p>
  </w:endnote>
  <w:endnote w:id="71">
    <w:p w:rsidR="00F51DEF" w:rsidRPr="00D96AED" w:rsidRDefault="00F51DEF" w:rsidP="00684986">
      <w:pPr>
        <w:pStyle w:val="Footnote"/>
      </w:pPr>
      <w:r w:rsidRPr="00D96AED">
        <w:rPr>
          <w:rStyle w:val="EndnoteReference"/>
        </w:rPr>
        <w:endnoteRef/>
      </w:r>
      <w:r w:rsidRPr="00D96AED">
        <w:t>I.R.C. §1202(c</w:t>
      </w:r>
      <w:proofErr w:type="gramStart"/>
      <w:r w:rsidRPr="00D96AED">
        <w:t>)(</w:t>
      </w:r>
      <w:proofErr w:type="gramEnd"/>
      <w:r w:rsidRPr="00D96AED">
        <w:t>1)(A).</w:t>
      </w:r>
    </w:p>
  </w:endnote>
  <w:endnote w:id="72">
    <w:p w:rsidR="00F51DEF" w:rsidRPr="00D96AED" w:rsidRDefault="00F51DEF" w:rsidP="00684986">
      <w:pPr>
        <w:pStyle w:val="Footnote"/>
      </w:pPr>
      <w:r w:rsidRPr="00D96AED">
        <w:rPr>
          <w:rStyle w:val="EndnoteReference"/>
        </w:rPr>
        <w:endnoteRef/>
      </w:r>
      <w:proofErr w:type="gramStart"/>
      <w:r w:rsidRPr="00D96AED">
        <w:t>I.R.C. §1202(d).</w:t>
      </w:r>
      <w:proofErr w:type="gramEnd"/>
    </w:p>
  </w:endnote>
  <w:endnote w:id="73">
    <w:p w:rsidR="00F51DEF" w:rsidRPr="00D96AED" w:rsidRDefault="00F51DEF" w:rsidP="00684986">
      <w:pPr>
        <w:pStyle w:val="Footnote"/>
      </w:pPr>
      <w:r w:rsidRPr="00D96AED">
        <w:rPr>
          <w:rStyle w:val="EndnoteReference"/>
        </w:rPr>
        <w:endnoteRef/>
      </w:r>
      <w:r>
        <w:t>I.</w:t>
      </w:r>
      <w:r w:rsidRPr="00D96AED">
        <w:t>R.C. §57(a</w:t>
      </w:r>
      <w:proofErr w:type="gramStart"/>
      <w:r w:rsidRPr="00D96AED">
        <w:t>)(</w:t>
      </w:r>
      <w:proofErr w:type="gramEnd"/>
      <w:r w:rsidRPr="00D96AED">
        <w:t>7).</w:t>
      </w:r>
    </w:p>
  </w:endnote>
  <w:endnote w:id="74">
    <w:p w:rsidR="00F51DEF" w:rsidRPr="00D96AED" w:rsidRDefault="00F51DEF" w:rsidP="00684986">
      <w:pPr>
        <w:pStyle w:val="Footnote"/>
      </w:pPr>
      <w:r w:rsidRPr="00D96AED">
        <w:rPr>
          <w:rStyle w:val="EndnoteReference"/>
        </w:rPr>
        <w:endnoteRef/>
      </w:r>
      <w:r w:rsidRPr="00D96AED">
        <w:t>I.R.C. §55(e</w:t>
      </w:r>
      <w:proofErr w:type="gramStart"/>
      <w:r w:rsidRPr="00D96AED">
        <w:t>)(</w:t>
      </w:r>
      <w:proofErr w:type="gramEnd"/>
      <w:r w:rsidRPr="00D96AED">
        <w:t>1)(A).</w:t>
      </w:r>
    </w:p>
  </w:endnote>
  <w:endnote w:id="75">
    <w:p w:rsidR="00F51DEF" w:rsidRPr="00D96AED" w:rsidRDefault="00F51DEF" w:rsidP="00684986">
      <w:pPr>
        <w:pStyle w:val="Footnote"/>
      </w:pPr>
      <w:r w:rsidRPr="00D96AED">
        <w:rPr>
          <w:rStyle w:val="EndnoteReference"/>
        </w:rPr>
        <w:endnoteRef/>
      </w:r>
      <w:proofErr w:type="gramStart"/>
      <w:r w:rsidRPr="00A27089">
        <w:rPr>
          <w:i/>
        </w:rPr>
        <w:t>I</w:t>
      </w:r>
      <w:r>
        <w:rPr>
          <w:i/>
        </w:rPr>
        <w:t>bi</w:t>
      </w:r>
      <w:r w:rsidRPr="00A27089">
        <w:rPr>
          <w:i/>
        </w:rPr>
        <w:t>d.</w:t>
      </w:r>
      <w:proofErr w:type="gramEnd"/>
      <w:r w:rsidRPr="00D96AED">
        <w:t xml:space="preserve"> </w:t>
      </w:r>
    </w:p>
  </w:endnote>
  <w:endnote w:id="76">
    <w:p w:rsidR="00F51DEF" w:rsidRPr="00D96AED" w:rsidRDefault="00F51DEF" w:rsidP="00684986">
      <w:pPr>
        <w:pStyle w:val="Footnote"/>
      </w:pPr>
      <w:r w:rsidRPr="00D96AED">
        <w:rPr>
          <w:rStyle w:val="EndnoteReference"/>
        </w:rPr>
        <w:endnoteRef/>
      </w:r>
      <w:r w:rsidRPr="00D96AED">
        <w:t>I.R.C. §55(e</w:t>
      </w:r>
      <w:proofErr w:type="gramStart"/>
      <w:r w:rsidRPr="00D96AED">
        <w:t>)(</w:t>
      </w:r>
      <w:proofErr w:type="gramEnd"/>
      <w:r w:rsidRPr="00D96AED">
        <w:t>1)(C).</w:t>
      </w:r>
    </w:p>
  </w:endnote>
  <w:endnote w:id="77">
    <w:p w:rsidR="00F51DEF" w:rsidRPr="00D96AED" w:rsidRDefault="00F51DEF" w:rsidP="00684986">
      <w:pPr>
        <w:pStyle w:val="Footnote"/>
      </w:pPr>
      <w:r w:rsidRPr="00D96AED">
        <w:rPr>
          <w:rStyle w:val="EndnoteReference"/>
        </w:rPr>
        <w:endnoteRef/>
      </w:r>
      <w:r w:rsidRPr="00D96AED">
        <w:t>I.R.C. §55(e</w:t>
      </w:r>
      <w:proofErr w:type="gramStart"/>
      <w:r w:rsidRPr="00D96AED">
        <w:t>)(</w:t>
      </w:r>
      <w:proofErr w:type="gramEnd"/>
      <w:r w:rsidRPr="00D96AED">
        <w:t>1)(B).</w:t>
      </w:r>
    </w:p>
  </w:endnote>
  <w:endnote w:id="78">
    <w:p w:rsidR="00F51DEF" w:rsidRPr="00D96AED" w:rsidRDefault="00F51DEF" w:rsidP="00684986">
      <w:pPr>
        <w:pStyle w:val="Footnote"/>
      </w:pPr>
      <w:r w:rsidRPr="00D96AED">
        <w:rPr>
          <w:rStyle w:val="EndnoteReference"/>
        </w:rPr>
        <w:endnoteRef/>
      </w:r>
      <w:r w:rsidRPr="00D96AED">
        <w:t>I.R.C. §55(e</w:t>
      </w:r>
      <w:proofErr w:type="gramStart"/>
      <w:r w:rsidRPr="00D96AED">
        <w:t>)(</w:t>
      </w:r>
      <w:proofErr w:type="gramEnd"/>
      <w:r w:rsidRPr="00D96AED">
        <w:t>1)(D).</w:t>
      </w:r>
    </w:p>
  </w:endnote>
  <w:endnote w:id="79">
    <w:p w:rsidR="00F51DEF" w:rsidRPr="00D96AED" w:rsidRDefault="00F51DEF" w:rsidP="00684986">
      <w:pPr>
        <w:pStyle w:val="Footnote"/>
      </w:pPr>
      <w:r w:rsidRPr="00D96AED">
        <w:rPr>
          <w:rStyle w:val="EndnoteReference"/>
        </w:rPr>
        <w:endnoteRef/>
      </w:r>
      <w:r w:rsidRPr="00D96AED">
        <w:t>I.R.C. §55(e</w:t>
      </w:r>
      <w:proofErr w:type="gramStart"/>
      <w:r w:rsidRPr="00D96AED">
        <w:t>)(</w:t>
      </w:r>
      <w:proofErr w:type="gramEnd"/>
      <w:r w:rsidRPr="00D96AED">
        <w:t>4).</w:t>
      </w:r>
    </w:p>
  </w:endnote>
  <w:endnote w:id="80">
    <w:p w:rsidR="00F51DEF" w:rsidRPr="00D96AED" w:rsidRDefault="00F51DEF" w:rsidP="00684986">
      <w:pPr>
        <w:pStyle w:val="Footnote"/>
      </w:pPr>
      <w:r w:rsidRPr="00D96AED">
        <w:rPr>
          <w:rStyle w:val="EndnoteReference"/>
        </w:rPr>
        <w:endnoteRef/>
      </w:r>
      <w:r w:rsidRPr="00D96AED">
        <w:t>I.R.C. §55(e</w:t>
      </w:r>
      <w:proofErr w:type="gramStart"/>
      <w:r w:rsidRPr="00D96AED">
        <w:t>)(</w:t>
      </w:r>
      <w:proofErr w:type="gramEnd"/>
      <w:r w:rsidRPr="00D96AED">
        <w:t>2)(A).</w:t>
      </w:r>
    </w:p>
  </w:endnote>
  <w:endnote w:id="81">
    <w:p w:rsidR="00F51DEF" w:rsidRPr="00D96AED" w:rsidRDefault="00F51DEF" w:rsidP="00684986">
      <w:pPr>
        <w:pStyle w:val="Footnote"/>
      </w:pPr>
      <w:r w:rsidRPr="00D96AED">
        <w:rPr>
          <w:rStyle w:val="EndnoteReference"/>
        </w:rPr>
        <w:endnoteRef/>
      </w:r>
      <w:r w:rsidRPr="00D96AED">
        <w:t>I.R.C. §55(e</w:t>
      </w:r>
      <w:proofErr w:type="gramStart"/>
      <w:r w:rsidRPr="00D96AED">
        <w:t>)(</w:t>
      </w:r>
      <w:proofErr w:type="gramEnd"/>
      <w:r w:rsidRPr="00D96AED">
        <w:t>2)(B).</w:t>
      </w:r>
    </w:p>
  </w:endnote>
  <w:endnote w:id="82">
    <w:p w:rsidR="00F51DEF" w:rsidRPr="00D96AED" w:rsidRDefault="00F51DEF" w:rsidP="00684986">
      <w:pPr>
        <w:pStyle w:val="Footnote"/>
      </w:pPr>
      <w:r w:rsidRPr="00D96AED">
        <w:rPr>
          <w:rStyle w:val="EndnoteReference"/>
        </w:rPr>
        <w:endnoteRef/>
      </w:r>
      <w:r w:rsidRPr="00D96AED">
        <w:t>I.R.C. §55(e</w:t>
      </w:r>
      <w:proofErr w:type="gramStart"/>
      <w:r w:rsidRPr="00D96AED">
        <w:t>)(</w:t>
      </w:r>
      <w:proofErr w:type="gramEnd"/>
      <w:r w:rsidRPr="00D96AED">
        <w:t>2)(C).</w:t>
      </w:r>
    </w:p>
  </w:endnote>
  <w:endnote w:id="83">
    <w:p w:rsidR="00F51DEF" w:rsidRPr="00D96AED" w:rsidRDefault="00F51DEF" w:rsidP="00684986">
      <w:pPr>
        <w:pStyle w:val="Footnote"/>
      </w:pPr>
      <w:r w:rsidRPr="00D96AED">
        <w:rPr>
          <w:rStyle w:val="EndnoteReference"/>
        </w:rPr>
        <w:endnoteRef/>
      </w:r>
      <w:r w:rsidRPr="00D96AED">
        <w:t>I.R.C. §55(e</w:t>
      </w:r>
      <w:proofErr w:type="gramStart"/>
      <w:r w:rsidRPr="00D96AED">
        <w:t>)(</w:t>
      </w:r>
      <w:proofErr w:type="gramEnd"/>
      <w:r w:rsidRPr="00D96AED">
        <w:t>2)(D).</w:t>
      </w:r>
    </w:p>
  </w:endnote>
  <w:endnote w:id="84">
    <w:p w:rsidR="00F51DEF" w:rsidRPr="00D96AED" w:rsidRDefault="00F51DEF" w:rsidP="00684986">
      <w:pPr>
        <w:pStyle w:val="Footnote"/>
      </w:pPr>
      <w:r w:rsidRPr="00D96AED">
        <w:rPr>
          <w:rStyle w:val="EndnoteReference"/>
        </w:rPr>
        <w:endnoteRef/>
      </w:r>
      <w:r w:rsidRPr="00D96AED">
        <w:t>I.R.C. §55(e</w:t>
      </w:r>
      <w:proofErr w:type="gramStart"/>
      <w:r w:rsidRPr="00D96AED">
        <w:t>)(</w:t>
      </w:r>
      <w:proofErr w:type="gramEnd"/>
      <w:r w:rsidRPr="00D96AED">
        <w:t>2)(E).</w:t>
      </w:r>
    </w:p>
  </w:endnote>
  <w:endnote w:id="85">
    <w:p w:rsidR="00F51DEF" w:rsidRPr="00D96AED" w:rsidRDefault="00F51DEF" w:rsidP="00684986">
      <w:pPr>
        <w:pStyle w:val="Footnote"/>
      </w:pPr>
      <w:r w:rsidRPr="00D96AED">
        <w:rPr>
          <w:rStyle w:val="EndnoteReference"/>
        </w:rPr>
        <w:endnoteRef/>
      </w:r>
      <w:r w:rsidRPr="00D96AED">
        <w:t>I.R.C. §55(e</w:t>
      </w:r>
      <w:proofErr w:type="gramStart"/>
      <w:r w:rsidRPr="00D96AED">
        <w:t>)(</w:t>
      </w:r>
      <w:proofErr w:type="gramEnd"/>
      <w:r w:rsidRPr="00D96AED">
        <w:t>2)(F).</w:t>
      </w:r>
    </w:p>
  </w:endnote>
  <w:endnote w:id="86">
    <w:p w:rsidR="00F51DEF" w:rsidRPr="00D96AED" w:rsidRDefault="00F51DEF" w:rsidP="00684986">
      <w:pPr>
        <w:pStyle w:val="Footnote"/>
      </w:pPr>
      <w:r w:rsidRPr="00D96AED">
        <w:rPr>
          <w:rStyle w:val="EndnoteReference"/>
        </w:rPr>
        <w:endnoteRef/>
      </w:r>
      <w:r w:rsidRPr="00D96AED">
        <w:t>I.R.C. §55(e</w:t>
      </w:r>
      <w:proofErr w:type="gramStart"/>
      <w:r w:rsidRPr="00D96AED">
        <w:t>)(</w:t>
      </w:r>
      <w:proofErr w:type="gramEnd"/>
      <w:r w:rsidRPr="00D96AED">
        <w:t>2)(G).</w:t>
      </w:r>
    </w:p>
  </w:endnote>
  <w:endnote w:id="87">
    <w:p w:rsidR="00F51DEF" w:rsidRPr="00D96AED" w:rsidRDefault="00F51DEF" w:rsidP="00684986">
      <w:pPr>
        <w:pStyle w:val="Footnote"/>
      </w:pPr>
      <w:r w:rsidRPr="00D96AED">
        <w:rPr>
          <w:rStyle w:val="EndnoteReference"/>
        </w:rPr>
        <w:endnoteRef/>
      </w:r>
      <w:r w:rsidRPr="00D96AED">
        <w:t>I.R.C. §59(a</w:t>
      </w:r>
      <w:proofErr w:type="gramStart"/>
      <w:r w:rsidRPr="00D96AED">
        <w:t>)(</w:t>
      </w:r>
      <w:proofErr w:type="gramEnd"/>
      <w:r w:rsidRPr="00D96AED">
        <w:t>1).</w:t>
      </w:r>
    </w:p>
  </w:endnote>
  <w:endnote w:id="88">
    <w:p w:rsidR="00F51DEF" w:rsidRPr="00D96AED" w:rsidRDefault="00F51DEF" w:rsidP="00684986">
      <w:pPr>
        <w:pStyle w:val="Footnote"/>
      </w:pPr>
      <w:r w:rsidRPr="00D96AED">
        <w:rPr>
          <w:rStyle w:val="EndnoteReference"/>
        </w:rPr>
        <w:endnoteRef/>
      </w:r>
      <w:proofErr w:type="gramStart"/>
      <w:r w:rsidRPr="00D96AED">
        <w:t>I.R.C. §38(c).</w:t>
      </w:r>
      <w:proofErr w:type="gramEnd"/>
    </w:p>
  </w:endnote>
  <w:endnote w:id="89">
    <w:p w:rsidR="00F51DEF" w:rsidRPr="00D96AED" w:rsidRDefault="00F51DEF" w:rsidP="00684986">
      <w:pPr>
        <w:pStyle w:val="Footnote"/>
      </w:pPr>
      <w:r w:rsidRPr="00D96AED">
        <w:rPr>
          <w:rStyle w:val="EndnoteReference"/>
        </w:rPr>
        <w:endnoteRef/>
      </w:r>
      <w:proofErr w:type="gramStart"/>
      <w:r w:rsidRPr="00D96AED">
        <w:t>I.R.C. §53(a).</w:t>
      </w:r>
      <w:proofErr w:type="gramEnd"/>
    </w:p>
  </w:endnote>
  <w:endnote w:id="90">
    <w:p w:rsidR="00F51DEF" w:rsidRPr="00D96AED" w:rsidRDefault="00F51DEF" w:rsidP="00684986">
      <w:pPr>
        <w:pStyle w:val="Footnote"/>
      </w:pPr>
      <w:r w:rsidRPr="00D96AED">
        <w:rPr>
          <w:rStyle w:val="EndnoteReference"/>
        </w:rPr>
        <w:endnoteRef/>
      </w:r>
      <w:r w:rsidRPr="00D96AED">
        <w:t>I.R.C. §53(d</w:t>
      </w:r>
      <w:proofErr w:type="gramStart"/>
      <w:r w:rsidRPr="00D96AED">
        <w:t>)(</w:t>
      </w:r>
      <w:proofErr w:type="gramEnd"/>
      <w:r w:rsidRPr="00D96AED">
        <w:t>1)(B)(ii).</w:t>
      </w:r>
    </w:p>
  </w:endnote>
  <w:endnote w:id="91">
    <w:p w:rsidR="00F51DEF" w:rsidRPr="00D96AED" w:rsidRDefault="00F51DEF" w:rsidP="00684986">
      <w:pPr>
        <w:pStyle w:val="Footnote"/>
      </w:pPr>
      <w:r w:rsidRPr="00D96AED">
        <w:rPr>
          <w:rStyle w:val="EndnoteReference"/>
        </w:rPr>
        <w:endnoteRef/>
      </w:r>
      <w:r w:rsidRPr="00D96AED">
        <w:t>I.R.C. §53(d</w:t>
      </w:r>
      <w:proofErr w:type="gramStart"/>
      <w:r w:rsidRPr="00D96AED">
        <w:t>)(</w:t>
      </w:r>
      <w:proofErr w:type="gramEnd"/>
      <w:r w:rsidRPr="00D96AED">
        <w:t>1)(B)(i).</w:t>
      </w:r>
    </w:p>
  </w:endnote>
  <w:endnote w:id="92">
    <w:p w:rsidR="00F51DEF" w:rsidRPr="00D96AED" w:rsidRDefault="00F51DEF" w:rsidP="00684986">
      <w:pPr>
        <w:pStyle w:val="Footnote"/>
      </w:pPr>
      <w:r w:rsidRPr="00D96AED">
        <w:rPr>
          <w:rStyle w:val="EndnoteReference"/>
        </w:rPr>
        <w:endnoteRef/>
      </w:r>
      <w:r w:rsidRPr="00D96AED">
        <w:t>I.R.C. §53(d</w:t>
      </w:r>
      <w:proofErr w:type="gramStart"/>
      <w:r w:rsidRPr="00D96AED">
        <w:t>)(</w:t>
      </w:r>
      <w:proofErr w:type="gramEnd"/>
      <w:r w:rsidRPr="00D96AED">
        <w:t>1)(B)(iii).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Palatino LT Std">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DEF" w:rsidRDefault="00F51DEF">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DEF" w:rsidRPr="00935C41" w:rsidRDefault="00F51DEF" w:rsidP="00677E0C">
      <w:pPr>
        <w:pStyle w:val="FootnoteSeparator"/>
      </w:pPr>
    </w:p>
  </w:footnote>
  <w:footnote w:type="continuationSeparator" w:id="0">
    <w:p w:rsidR="00F51DEF" w:rsidRPr="00935C41" w:rsidRDefault="00F51DEF"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2">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6120F3F"/>
    <w:multiLevelType w:val="hybridMultilevel"/>
    <w:tmpl w:val="3FDE74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8E560D1"/>
    <w:multiLevelType w:val="hybridMultilevel"/>
    <w:tmpl w:val="53404F18"/>
    <w:lvl w:ilvl="0" w:tplc="1988D88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A0B5A7D"/>
    <w:multiLevelType w:val="hybridMultilevel"/>
    <w:tmpl w:val="71183F9A"/>
    <w:lvl w:ilvl="0" w:tplc="2A24F670">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20">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4">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6">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D257E00"/>
    <w:multiLevelType w:val="hybridMultilevel"/>
    <w:tmpl w:val="59B27ADC"/>
    <w:lvl w:ilvl="0" w:tplc="E86AD052">
      <w:start w:val="1"/>
      <w:numFmt w:val="bullet"/>
      <w:lvlText w:val=""/>
      <w:lvlJc w:val="left"/>
      <w:pPr>
        <w:tabs>
          <w:tab w:val="num" w:pos="360"/>
        </w:tabs>
        <w:ind w:left="36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03030D6"/>
    <w:multiLevelType w:val="hybridMultilevel"/>
    <w:tmpl w:val="753CF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59C267B"/>
    <w:multiLevelType w:val="hybridMultilevel"/>
    <w:tmpl w:val="94585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D8125FB"/>
    <w:multiLevelType w:val="multilevel"/>
    <w:tmpl w:val="E6B077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1B2CBE"/>
    <w:multiLevelType w:val="singleLevel"/>
    <w:tmpl w:val="0409000F"/>
    <w:lvl w:ilvl="0">
      <w:start w:val="1"/>
      <w:numFmt w:val="decimal"/>
      <w:lvlText w:val="%1."/>
      <w:lvlJc w:val="left"/>
      <w:pPr>
        <w:tabs>
          <w:tab w:val="num" w:pos="360"/>
        </w:tabs>
        <w:ind w:left="360" w:hanging="360"/>
      </w:pPr>
    </w:lvl>
  </w:abstractNum>
  <w:abstractNum w:abstractNumId="36">
    <w:nsid w:val="523F73D4"/>
    <w:multiLevelType w:val="hybridMultilevel"/>
    <w:tmpl w:val="F7A2C394"/>
    <w:lvl w:ilvl="0" w:tplc="35821EF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E4D7ACB"/>
    <w:multiLevelType w:val="multilevel"/>
    <w:tmpl w:val="370E7BD4"/>
    <w:lvl w:ilvl="0">
      <w:start w:val="1"/>
      <w:numFmt w:val="bullet"/>
      <w:lvlText w:val=""/>
      <w:lvlJc w:val="left"/>
      <w:pPr>
        <w:tabs>
          <w:tab w:val="num" w:pos="792"/>
        </w:tabs>
        <w:ind w:left="792" w:hanging="432"/>
      </w:pPr>
      <w:rPr>
        <w:rFonts w:ascii="Symbol" w:hAnsi="Symbol" w:cs="Times New Roman"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9">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abstractNum w:abstractNumId="41">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9"/>
    <w:lvlOverride w:ilvl="0">
      <w:startOverride w:val="1"/>
    </w:lvlOverride>
  </w:num>
  <w:num w:numId="2">
    <w:abstractNumId w:val="8"/>
    <w:lvlOverride w:ilvl="0">
      <w:startOverride w:val="1"/>
    </w:lvlOverride>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26"/>
    <w:lvlOverride w:ilvl="0">
      <w:startOverride w:val="1"/>
    </w:lvlOverride>
  </w:num>
  <w:num w:numId="11">
    <w:abstractNumId w:val="14"/>
  </w:num>
  <w:num w:numId="12">
    <w:abstractNumId w:val="18"/>
  </w:num>
  <w:num w:numId="13">
    <w:abstractNumId w:val="36"/>
  </w:num>
  <w:num w:numId="14">
    <w:abstractNumId w:val="38"/>
  </w:num>
  <w:num w:numId="15">
    <w:abstractNumId w:val="11"/>
  </w:num>
  <w:num w:numId="16">
    <w:abstractNumId w:val="25"/>
  </w:num>
  <w:num w:numId="17">
    <w:abstractNumId w:val="41"/>
  </w:num>
  <w:num w:numId="18">
    <w:abstractNumId w:val="23"/>
  </w:num>
  <w:num w:numId="19">
    <w:abstractNumId w:val="35"/>
  </w:num>
  <w:num w:numId="20">
    <w:abstractNumId w:val="29"/>
  </w:num>
  <w:num w:numId="21">
    <w:abstractNumId w:val="10"/>
  </w:num>
  <w:num w:numId="22">
    <w:abstractNumId w:val="10"/>
    <w:lvlOverride w:ilvl="0">
      <w:lvl w:ilvl="0">
        <w:start w:val="1"/>
        <w:numFmt w:val="bullet"/>
        <w:lvlText w:val=""/>
        <w:legacy w:legacy="1" w:legacySpace="0" w:legacyIndent="432"/>
        <w:lvlJc w:val="left"/>
        <w:pPr>
          <w:ind w:left="432" w:hanging="432"/>
        </w:pPr>
        <w:rPr>
          <w:rFonts w:ascii="Symbol" w:hAnsi="Symbol" w:hint="default"/>
        </w:rPr>
      </w:lvl>
    </w:lvlOverride>
  </w:num>
  <w:num w:numId="23">
    <w:abstractNumId w:val="33"/>
  </w:num>
  <w:num w:numId="24">
    <w:abstractNumId w:val="37"/>
  </w:num>
  <w:num w:numId="25">
    <w:abstractNumId w:val="28"/>
  </w:num>
  <w:num w:numId="26">
    <w:abstractNumId w:val="13"/>
  </w:num>
  <w:num w:numId="27">
    <w:abstractNumId w:val="31"/>
  </w:num>
  <w:num w:numId="28">
    <w:abstractNumId w:val="9"/>
  </w:num>
  <w:num w:numId="29">
    <w:abstractNumId w:val="4"/>
  </w:num>
  <w:num w:numId="30">
    <w:abstractNumId w:val="8"/>
  </w:num>
  <w:num w:numId="31">
    <w:abstractNumId w:val="34"/>
  </w:num>
  <w:num w:numId="32">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33">
    <w:abstractNumId w:val="40"/>
  </w:num>
  <w:num w:numId="34">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35">
    <w:abstractNumId w:val="30"/>
  </w:num>
  <w:num w:numId="36">
    <w:abstractNumId w:val="16"/>
  </w:num>
  <w:num w:numId="37">
    <w:abstractNumId w:val="24"/>
  </w:num>
  <w:num w:numId="38">
    <w:abstractNumId w:val="17"/>
  </w:num>
  <w:num w:numId="39">
    <w:abstractNumId w:val="39"/>
  </w:num>
  <w:num w:numId="40">
    <w:abstractNumId w:val="22"/>
  </w:num>
  <w:num w:numId="41">
    <w:abstractNumId w:val="19"/>
  </w:num>
  <w:num w:numId="42">
    <w:abstractNumId w:val="12"/>
  </w:num>
  <w:num w:numId="43">
    <w:abstractNumId w:val="32"/>
  </w:num>
  <w:num w:numId="44">
    <w:abstractNumId w:val="27"/>
  </w:num>
  <w:num w:numId="45">
    <w:abstractNumId w:val="15"/>
  </w:num>
  <w:num w:numId="46">
    <w:abstractNumId w:val="20"/>
  </w:num>
  <w:num w:numId="47">
    <w:abstractNumId w:val="21"/>
  </w:num>
  <w:num w:numId="48">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77"/>
    <w:rsid w:val="00000655"/>
    <w:rsid w:val="0000543E"/>
    <w:rsid w:val="00007540"/>
    <w:rsid w:val="00030372"/>
    <w:rsid w:val="00031C49"/>
    <w:rsid w:val="000379B0"/>
    <w:rsid w:val="0005199E"/>
    <w:rsid w:val="00067AD6"/>
    <w:rsid w:val="00075291"/>
    <w:rsid w:val="000827B3"/>
    <w:rsid w:val="00086DB7"/>
    <w:rsid w:val="00091E9B"/>
    <w:rsid w:val="000978FD"/>
    <w:rsid w:val="00097B5E"/>
    <w:rsid w:val="000B61AB"/>
    <w:rsid w:val="000B6E4E"/>
    <w:rsid w:val="000C5E55"/>
    <w:rsid w:val="000D6152"/>
    <w:rsid w:val="000D66E4"/>
    <w:rsid w:val="000E1C65"/>
    <w:rsid w:val="000F0380"/>
    <w:rsid w:val="001011D9"/>
    <w:rsid w:val="001038D1"/>
    <w:rsid w:val="0010662C"/>
    <w:rsid w:val="00114A93"/>
    <w:rsid w:val="00144CDF"/>
    <w:rsid w:val="0014528B"/>
    <w:rsid w:val="0014627D"/>
    <w:rsid w:val="001501DF"/>
    <w:rsid w:val="00152B8F"/>
    <w:rsid w:val="00153727"/>
    <w:rsid w:val="0015620E"/>
    <w:rsid w:val="00156659"/>
    <w:rsid w:val="001632A1"/>
    <w:rsid w:val="0017627E"/>
    <w:rsid w:val="001A07E7"/>
    <w:rsid w:val="001A2D53"/>
    <w:rsid w:val="001A3DDF"/>
    <w:rsid w:val="001B2F43"/>
    <w:rsid w:val="001B522A"/>
    <w:rsid w:val="001B5761"/>
    <w:rsid w:val="001C4EEA"/>
    <w:rsid w:val="001C5779"/>
    <w:rsid w:val="001D7FDB"/>
    <w:rsid w:val="001E2D58"/>
    <w:rsid w:val="001F2485"/>
    <w:rsid w:val="001F3565"/>
    <w:rsid w:val="001F768C"/>
    <w:rsid w:val="00205D3E"/>
    <w:rsid w:val="00207426"/>
    <w:rsid w:val="00213373"/>
    <w:rsid w:val="00224746"/>
    <w:rsid w:val="00226322"/>
    <w:rsid w:val="00226329"/>
    <w:rsid w:val="00240318"/>
    <w:rsid w:val="00242F5D"/>
    <w:rsid w:val="00267F1C"/>
    <w:rsid w:val="00270305"/>
    <w:rsid w:val="002848AE"/>
    <w:rsid w:val="002858AD"/>
    <w:rsid w:val="002907C5"/>
    <w:rsid w:val="00290E9C"/>
    <w:rsid w:val="0029277A"/>
    <w:rsid w:val="00292C0F"/>
    <w:rsid w:val="00293216"/>
    <w:rsid w:val="002A11BD"/>
    <w:rsid w:val="002A304B"/>
    <w:rsid w:val="002A354F"/>
    <w:rsid w:val="002B51AB"/>
    <w:rsid w:val="002B58C2"/>
    <w:rsid w:val="002C07B9"/>
    <w:rsid w:val="002C50A3"/>
    <w:rsid w:val="002D0C29"/>
    <w:rsid w:val="002D4D55"/>
    <w:rsid w:val="002D76BE"/>
    <w:rsid w:val="002E1249"/>
    <w:rsid w:val="002E777A"/>
    <w:rsid w:val="002F2CBB"/>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24F"/>
    <w:rsid w:val="003A49EA"/>
    <w:rsid w:val="003A5BAB"/>
    <w:rsid w:val="003A6066"/>
    <w:rsid w:val="003B17B2"/>
    <w:rsid w:val="003B3C61"/>
    <w:rsid w:val="003B5CFA"/>
    <w:rsid w:val="003B70EE"/>
    <w:rsid w:val="003B7838"/>
    <w:rsid w:val="003C1371"/>
    <w:rsid w:val="003C4B5C"/>
    <w:rsid w:val="003C5CDA"/>
    <w:rsid w:val="003C6737"/>
    <w:rsid w:val="003D4195"/>
    <w:rsid w:val="003D482E"/>
    <w:rsid w:val="003D5183"/>
    <w:rsid w:val="003E4AF2"/>
    <w:rsid w:val="003E57DD"/>
    <w:rsid w:val="003F3E18"/>
    <w:rsid w:val="003F6BAA"/>
    <w:rsid w:val="0040699E"/>
    <w:rsid w:val="00406B7B"/>
    <w:rsid w:val="004417F6"/>
    <w:rsid w:val="004479EC"/>
    <w:rsid w:val="0045231E"/>
    <w:rsid w:val="004676B7"/>
    <w:rsid w:val="00474672"/>
    <w:rsid w:val="00476956"/>
    <w:rsid w:val="00481445"/>
    <w:rsid w:val="00486436"/>
    <w:rsid w:val="004968AD"/>
    <w:rsid w:val="004A7E5A"/>
    <w:rsid w:val="004C61D2"/>
    <w:rsid w:val="004D127E"/>
    <w:rsid w:val="004D2938"/>
    <w:rsid w:val="004E2789"/>
    <w:rsid w:val="004E3C42"/>
    <w:rsid w:val="004F0A06"/>
    <w:rsid w:val="0051491F"/>
    <w:rsid w:val="0052077C"/>
    <w:rsid w:val="0052269F"/>
    <w:rsid w:val="00540E5C"/>
    <w:rsid w:val="0054196D"/>
    <w:rsid w:val="00553292"/>
    <w:rsid w:val="00554D7B"/>
    <w:rsid w:val="00556ABE"/>
    <w:rsid w:val="005579F9"/>
    <w:rsid w:val="005625D5"/>
    <w:rsid w:val="0056498E"/>
    <w:rsid w:val="00566413"/>
    <w:rsid w:val="00574B24"/>
    <w:rsid w:val="005756DB"/>
    <w:rsid w:val="0058379B"/>
    <w:rsid w:val="00584F47"/>
    <w:rsid w:val="00591A20"/>
    <w:rsid w:val="0059773B"/>
    <w:rsid w:val="005A3E83"/>
    <w:rsid w:val="005A4DD1"/>
    <w:rsid w:val="005A5114"/>
    <w:rsid w:val="005C39B9"/>
    <w:rsid w:val="005D1994"/>
    <w:rsid w:val="005D317E"/>
    <w:rsid w:val="005D5536"/>
    <w:rsid w:val="005F5AE9"/>
    <w:rsid w:val="006031BB"/>
    <w:rsid w:val="006123B6"/>
    <w:rsid w:val="00615E93"/>
    <w:rsid w:val="006353E2"/>
    <w:rsid w:val="00637A08"/>
    <w:rsid w:val="0064064A"/>
    <w:rsid w:val="0064519C"/>
    <w:rsid w:val="00655218"/>
    <w:rsid w:val="00666D8B"/>
    <w:rsid w:val="00674DDB"/>
    <w:rsid w:val="00676736"/>
    <w:rsid w:val="00677C69"/>
    <w:rsid w:val="00677E0C"/>
    <w:rsid w:val="00684986"/>
    <w:rsid w:val="00691C9B"/>
    <w:rsid w:val="00695483"/>
    <w:rsid w:val="00697508"/>
    <w:rsid w:val="006A539C"/>
    <w:rsid w:val="006B4C1C"/>
    <w:rsid w:val="006C0006"/>
    <w:rsid w:val="006D7348"/>
    <w:rsid w:val="006F68C5"/>
    <w:rsid w:val="007010AD"/>
    <w:rsid w:val="00711346"/>
    <w:rsid w:val="007119F7"/>
    <w:rsid w:val="0072293B"/>
    <w:rsid w:val="00730DCB"/>
    <w:rsid w:val="0074323A"/>
    <w:rsid w:val="00755ACD"/>
    <w:rsid w:val="007611A6"/>
    <w:rsid w:val="00767487"/>
    <w:rsid w:val="007810B3"/>
    <w:rsid w:val="0078191D"/>
    <w:rsid w:val="00794736"/>
    <w:rsid w:val="00795C48"/>
    <w:rsid w:val="007A4290"/>
    <w:rsid w:val="007A4C27"/>
    <w:rsid w:val="007B5C38"/>
    <w:rsid w:val="007C6DD6"/>
    <w:rsid w:val="007D32BA"/>
    <w:rsid w:val="007D5F95"/>
    <w:rsid w:val="007E0063"/>
    <w:rsid w:val="007E20F5"/>
    <w:rsid w:val="007E5816"/>
    <w:rsid w:val="007F6718"/>
    <w:rsid w:val="00800ABE"/>
    <w:rsid w:val="008014D3"/>
    <w:rsid w:val="00801ACE"/>
    <w:rsid w:val="0081052E"/>
    <w:rsid w:val="00814515"/>
    <w:rsid w:val="008251A1"/>
    <w:rsid w:val="00826247"/>
    <w:rsid w:val="00836600"/>
    <w:rsid w:val="00837B38"/>
    <w:rsid w:val="008519F8"/>
    <w:rsid w:val="008532D3"/>
    <w:rsid w:val="008663FC"/>
    <w:rsid w:val="008669F5"/>
    <w:rsid w:val="00884908"/>
    <w:rsid w:val="0089126B"/>
    <w:rsid w:val="008A3CD0"/>
    <w:rsid w:val="008B5654"/>
    <w:rsid w:val="008C1073"/>
    <w:rsid w:val="008C1570"/>
    <w:rsid w:val="008C23A5"/>
    <w:rsid w:val="008C283E"/>
    <w:rsid w:val="008D40B5"/>
    <w:rsid w:val="008D47D8"/>
    <w:rsid w:val="008E50EF"/>
    <w:rsid w:val="008F0874"/>
    <w:rsid w:val="008F3535"/>
    <w:rsid w:val="0090655D"/>
    <w:rsid w:val="00924790"/>
    <w:rsid w:val="00931FD9"/>
    <w:rsid w:val="00934869"/>
    <w:rsid w:val="00940CDA"/>
    <w:rsid w:val="00944A1B"/>
    <w:rsid w:val="00954679"/>
    <w:rsid w:val="00957026"/>
    <w:rsid w:val="0096116D"/>
    <w:rsid w:val="0096278E"/>
    <w:rsid w:val="009666E1"/>
    <w:rsid w:val="00971BF2"/>
    <w:rsid w:val="00976C7E"/>
    <w:rsid w:val="00996C8D"/>
    <w:rsid w:val="009A1BC4"/>
    <w:rsid w:val="009C4E0C"/>
    <w:rsid w:val="009D4372"/>
    <w:rsid w:val="009D5404"/>
    <w:rsid w:val="009D5850"/>
    <w:rsid w:val="009E095F"/>
    <w:rsid w:val="009E4056"/>
    <w:rsid w:val="009F61C9"/>
    <w:rsid w:val="009F6915"/>
    <w:rsid w:val="009F74C9"/>
    <w:rsid w:val="00A02508"/>
    <w:rsid w:val="00A11CE3"/>
    <w:rsid w:val="00A275D0"/>
    <w:rsid w:val="00A347D0"/>
    <w:rsid w:val="00A357AD"/>
    <w:rsid w:val="00A42522"/>
    <w:rsid w:val="00A46537"/>
    <w:rsid w:val="00A50B3D"/>
    <w:rsid w:val="00A515F5"/>
    <w:rsid w:val="00A54A90"/>
    <w:rsid w:val="00A5642F"/>
    <w:rsid w:val="00A66052"/>
    <w:rsid w:val="00A71F77"/>
    <w:rsid w:val="00A756C8"/>
    <w:rsid w:val="00A76CF2"/>
    <w:rsid w:val="00A82A9A"/>
    <w:rsid w:val="00A9207C"/>
    <w:rsid w:val="00AB18D2"/>
    <w:rsid w:val="00AB360F"/>
    <w:rsid w:val="00AB3AF3"/>
    <w:rsid w:val="00AC4E5C"/>
    <w:rsid w:val="00AD158A"/>
    <w:rsid w:val="00AD3A56"/>
    <w:rsid w:val="00AD70D6"/>
    <w:rsid w:val="00AE5387"/>
    <w:rsid w:val="00AF5302"/>
    <w:rsid w:val="00AF5EA4"/>
    <w:rsid w:val="00AF667E"/>
    <w:rsid w:val="00AF7C41"/>
    <w:rsid w:val="00B021E6"/>
    <w:rsid w:val="00B038B1"/>
    <w:rsid w:val="00B1645E"/>
    <w:rsid w:val="00B35CA3"/>
    <w:rsid w:val="00B47EEB"/>
    <w:rsid w:val="00B57429"/>
    <w:rsid w:val="00B61AEE"/>
    <w:rsid w:val="00B67521"/>
    <w:rsid w:val="00B711D5"/>
    <w:rsid w:val="00B74244"/>
    <w:rsid w:val="00B7452B"/>
    <w:rsid w:val="00B75895"/>
    <w:rsid w:val="00B83759"/>
    <w:rsid w:val="00BA122E"/>
    <w:rsid w:val="00BB21A6"/>
    <w:rsid w:val="00BB620F"/>
    <w:rsid w:val="00BC0195"/>
    <w:rsid w:val="00BC6B04"/>
    <w:rsid w:val="00BE053B"/>
    <w:rsid w:val="00BE1F6E"/>
    <w:rsid w:val="00BE41BD"/>
    <w:rsid w:val="00BE540C"/>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0262"/>
    <w:rsid w:val="00C70F1C"/>
    <w:rsid w:val="00C753B4"/>
    <w:rsid w:val="00C7723E"/>
    <w:rsid w:val="00C91AC3"/>
    <w:rsid w:val="00C97F2D"/>
    <w:rsid w:val="00CB3B73"/>
    <w:rsid w:val="00CB44E5"/>
    <w:rsid w:val="00CB5292"/>
    <w:rsid w:val="00CC783B"/>
    <w:rsid w:val="00CE2709"/>
    <w:rsid w:val="00CE4B07"/>
    <w:rsid w:val="00CE4DC2"/>
    <w:rsid w:val="00D16736"/>
    <w:rsid w:val="00D22D0D"/>
    <w:rsid w:val="00D26CEF"/>
    <w:rsid w:val="00D306D1"/>
    <w:rsid w:val="00D35FC6"/>
    <w:rsid w:val="00D360A2"/>
    <w:rsid w:val="00D56C79"/>
    <w:rsid w:val="00D6411F"/>
    <w:rsid w:val="00D654E1"/>
    <w:rsid w:val="00D712F7"/>
    <w:rsid w:val="00D733FE"/>
    <w:rsid w:val="00D74F65"/>
    <w:rsid w:val="00D76B60"/>
    <w:rsid w:val="00D85E14"/>
    <w:rsid w:val="00D932DA"/>
    <w:rsid w:val="00DA2115"/>
    <w:rsid w:val="00DA39E8"/>
    <w:rsid w:val="00DA6F7F"/>
    <w:rsid w:val="00DB0B99"/>
    <w:rsid w:val="00DB5150"/>
    <w:rsid w:val="00DB7D86"/>
    <w:rsid w:val="00DD2CCA"/>
    <w:rsid w:val="00DD575C"/>
    <w:rsid w:val="00DE07E0"/>
    <w:rsid w:val="00DF5BF9"/>
    <w:rsid w:val="00DF7E5B"/>
    <w:rsid w:val="00E032AF"/>
    <w:rsid w:val="00E078CA"/>
    <w:rsid w:val="00E16AC9"/>
    <w:rsid w:val="00E25245"/>
    <w:rsid w:val="00E31C9C"/>
    <w:rsid w:val="00E332C1"/>
    <w:rsid w:val="00E423E6"/>
    <w:rsid w:val="00E426F6"/>
    <w:rsid w:val="00E44228"/>
    <w:rsid w:val="00E4716A"/>
    <w:rsid w:val="00E54847"/>
    <w:rsid w:val="00E7054E"/>
    <w:rsid w:val="00E72495"/>
    <w:rsid w:val="00E771E4"/>
    <w:rsid w:val="00E81A46"/>
    <w:rsid w:val="00E82EA9"/>
    <w:rsid w:val="00E84239"/>
    <w:rsid w:val="00E852A5"/>
    <w:rsid w:val="00EA62E5"/>
    <w:rsid w:val="00EB1BF9"/>
    <w:rsid w:val="00EB7301"/>
    <w:rsid w:val="00EC2C03"/>
    <w:rsid w:val="00EC53DB"/>
    <w:rsid w:val="00EC6991"/>
    <w:rsid w:val="00EC6BB9"/>
    <w:rsid w:val="00ED007B"/>
    <w:rsid w:val="00ED56C6"/>
    <w:rsid w:val="00EF1379"/>
    <w:rsid w:val="00F022B9"/>
    <w:rsid w:val="00F04370"/>
    <w:rsid w:val="00F43BF5"/>
    <w:rsid w:val="00F44539"/>
    <w:rsid w:val="00F454AB"/>
    <w:rsid w:val="00F5009A"/>
    <w:rsid w:val="00F51DEF"/>
    <w:rsid w:val="00F53F98"/>
    <w:rsid w:val="00F54DF5"/>
    <w:rsid w:val="00F620D0"/>
    <w:rsid w:val="00F646C3"/>
    <w:rsid w:val="00F6511C"/>
    <w:rsid w:val="00F73675"/>
    <w:rsid w:val="00F8216B"/>
    <w:rsid w:val="00F84374"/>
    <w:rsid w:val="00F8696F"/>
    <w:rsid w:val="00F94671"/>
    <w:rsid w:val="00FB6C82"/>
    <w:rsid w:val="00FC1DA9"/>
    <w:rsid w:val="00FC345F"/>
    <w:rsid w:val="00FC47A3"/>
    <w:rsid w:val="00FD3347"/>
    <w:rsid w:val="00FD4ACB"/>
    <w:rsid w:val="00FE42AD"/>
    <w:rsid w:val="00FF2040"/>
    <w:rsid w:val="00FF3232"/>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F51DEF"/>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F51DEF"/>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F51DEF"/>
    <w:pPr>
      <w:outlineLvl w:val="1"/>
    </w:pPr>
  </w:style>
  <w:style w:type="paragraph" w:styleId="Heading3">
    <w:name w:val="heading 3"/>
    <w:basedOn w:val="TableTitle1"/>
    <w:next w:val="Normal"/>
    <w:link w:val="Heading3Char"/>
    <w:unhideWhenUsed/>
    <w:rsid w:val="00F51DEF"/>
    <w:pPr>
      <w:outlineLvl w:val="2"/>
    </w:pPr>
  </w:style>
  <w:style w:type="paragraph" w:styleId="Heading4">
    <w:name w:val="heading 4"/>
    <w:basedOn w:val="Heading3"/>
    <w:next w:val="Normal"/>
    <w:link w:val="Heading4Char"/>
    <w:unhideWhenUsed/>
    <w:locked/>
    <w:rsid w:val="00F51DEF"/>
    <w:pPr>
      <w:outlineLvl w:val="3"/>
    </w:pPr>
  </w:style>
  <w:style w:type="paragraph" w:styleId="Heading5">
    <w:name w:val="heading 5"/>
    <w:basedOn w:val="Heading4"/>
    <w:next w:val="Normal"/>
    <w:link w:val="Heading5Char"/>
    <w:unhideWhenUsed/>
    <w:locked/>
    <w:rsid w:val="00F51DEF"/>
    <w:pPr>
      <w:outlineLvl w:val="4"/>
    </w:pPr>
  </w:style>
  <w:style w:type="paragraph" w:styleId="Heading6">
    <w:name w:val="heading 6"/>
    <w:basedOn w:val="Heading5"/>
    <w:next w:val="Normal"/>
    <w:link w:val="Heading6Char"/>
    <w:unhideWhenUsed/>
    <w:locked/>
    <w:rsid w:val="00F51DEF"/>
    <w:pPr>
      <w:outlineLvl w:val="5"/>
    </w:pPr>
  </w:style>
  <w:style w:type="paragraph" w:styleId="Heading7">
    <w:name w:val="heading 7"/>
    <w:basedOn w:val="Heading6"/>
    <w:next w:val="Normal"/>
    <w:link w:val="Heading7Char"/>
    <w:unhideWhenUsed/>
    <w:locked/>
    <w:rsid w:val="00F51DEF"/>
    <w:pPr>
      <w:outlineLvl w:val="6"/>
    </w:pPr>
  </w:style>
  <w:style w:type="paragraph" w:styleId="Heading8">
    <w:name w:val="heading 8"/>
    <w:basedOn w:val="Heading7"/>
    <w:next w:val="Normal"/>
    <w:link w:val="Heading8Char"/>
    <w:unhideWhenUsed/>
    <w:locked/>
    <w:rsid w:val="00F51DEF"/>
    <w:pPr>
      <w:outlineLvl w:val="7"/>
    </w:pPr>
  </w:style>
  <w:style w:type="paragraph" w:styleId="Heading9">
    <w:name w:val="heading 9"/>
    <w:basedOn w:val="Heading8"/>
    <w:next w:val="Normal"/>
    <w:link w:val="Heading9Char"/>
    <w:unhideWhenUsed/>
    <w:locked/>
    <w:rsid w:val="00F51DE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F51DEF"/>
  </w:style>
  <w:style w:type="character" w:customStyle="1" w:styleId="E-mailSignatureChar">
    <w:name w:val="E-mail Signature Char"/>
    <w:basedOn w:val="DefaultParagraphFont"/>
    <w:link w:val="E-mailSignature"/>
    <w:uiPriority w:val="99"/>
    <w:rsid w:val="00F51DEF"/>
    <w:rPr>
      <w:rFonts w:ascii="Source Sans Pro" w:hAnsi="Source Sans Pro"/>
      <w:sz w:val="24"/>
      <w:szCs w:val="22"/>
    </w:rPr>
  </w:style>
  <w:style w:type="character" w:styleId="Hyperlink">
    <w:name w:val="Hyperlink"/>
    <w:basedOn w:val="DefaultParagraphFont"/>
    <w:uiPriority w:val="99"/>
    <w:unhideWhenUsed/>
    <w:rsid w:val="00F51DEF"/>
    <w:rPr>
      <w:color w:val="0000FF"/>
      <w:u w:val="single"/>
    </w:rPr>
  </w:style>
  <w:style w:type="paragraph" w:styleId="ListBullet5">
    <w:name w:val="List Bullet 5"/>
    <w:basedOn w:val="Normal"/>
    <w:uiPriority w:val="99"/>
    <w:unhideWhenUsed/>
    <w:rsid w:val="00F51DEF"/>
    <w:pPr>
      <w:tabs>
        <w:tab w:val="num" w:pos="1800"/>
      </w:tabs>
      <w:ind w:left="1800" w:hanging="360"/>
      <w:contextualSpacing/>
    </w:pPr>
  </w:style>
  <w:style w:type="paragraph" w:styleId="NoSpacing">
    <w:name w:val="No Spacing"/>
    <w:uiPriority w:val="1"/>
    <w:rsid w:val="00F51DEF"/>
    <w:rPr>
      <w:rFonts w:ascii="Source Sans Pro" w:hAnsi="Source Sans Pro"/>
      <w:szCs w:val="22"/>
    </w:rPr>
  </w:style>
  <w:style w:type="character" w:customStyle="1" w:styleId="Heading1Char">
    <w:name w:val="Heading 1 Char"/>
    <w:basedOn w:val="DefaultParagraphFont"/>
    <w:link w:val="Heading1"/>
    <w:uiPriority w:val="9"/>
    <w:rsid w:val="00F51DEF"/>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F51DEF"/>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F51DEF"/>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F51DEF"/>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F51DEF"/>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F51DEF"/>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F51DEF"/>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F51DEF"/>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F51DEF"/>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F51DEF"/>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F51DEF"/>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F51DEF"/>
    <w:rPr>
      <w:i/>
      <w:iCs/>
      <w:color w:val="7F7F7F" w:themeColor="text1" w:themeTint="80"/>
    </w:rPr>
  </w:style>
  <w:style w:type="character" w:styleId="Emphasis">
    <w:name w:val="Emphasis"/>
    <w:basedOn w:val="DefaultParagraphFont"/>
    <w:uiPriority w:val="20"/>
    <w:rsid w:val="00F51DEF"/>
    <w:rPr>
      <w:i/>
      <w:iCs/>
    </w:rPr>
  </w:style>
  <w:style w:type="table" w:styleId="TableGrid">
    <w:name w:val="Table Grid"/>
    <w:basedOn w:val="TableNormal"/>
    <w:uiPriority w:val="59"/>
    <w:rsid w:val="00F51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51DEF"/>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F51DEF"/>
    <w:rPr>
      <w:i/>
      <w:iCs/>
      <w:color w:val="000000" w:themeColor="text1"/>
    </w:rPr>
  </w:style>
  <w:style w:type="character" w:customStyle="1" w:styleId="QuoteChar">
    <w:name w:val="Quote Char"/>
    <w:basedOn w:val="DefaultParagraphFont"/>
    <w:link w:val="Quote"/>
    <w:uiPriority w:val="29"/>
    <w:rsid w:val="00F51DEF"/>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F51DEF"/>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F51DEF"/>
    <w:rPr>
      <w:rFonts w:ascii="Source Sans Pro" w:hAnsi="Source Sans Pro"/>
      <w:b/>
      <w:bCs/>
      <w:i/>
      <w:iCs/>
      <w:color w:val="9BBB59" w:themeColor="accent4"/>
      <w:sz w:val="24"/>
      <w:szCs w:val="22"/>
    </w:rPr>
  </w:style>
  <w:style w:type="paragraph" w:customStyle="1" w:styleId="Title1">
    <w:name w:val="Title 1"/>
    <w:basedOn w:val="Normal"/>
    <w:link w:val="Title1Char"/>
    <w:qFormat/>
    <w:rsid w:val="00F51DEF"/>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F51DEF"/>
    <w:rPr>
      <w:b/>
      <w:bCs/>
      <w:smallCaps/>
      <w:color w:val="C0504D" w:themeColor="accent2"/>
      <w:spacing w:val="5"/>
      <w:u w:val="single"/>
    </w:rPr>
  </w:style>
  <w:style w:type="character" w:styleId="BookTitle">
    <w:name w:val="Book Title"/>
    <w:basedOn w:val="DefaultParagraphFont"/>
    <w:uiPriority w:val="33"/>
    <w:rsid w:val="00F51DEF"/>
    <w:rPr>
      <w:b/>
      <w:bCs/>
      <w:smallCaps/>
      <w:spacing w:val="5"/>
    </w:rPr>
  </w:style>
  <w:style w:type="paragraph" w:styleId="ListParagraph">
    <w:name w:val="List Paragraph"/>
    <w:basedOn w:val="Normal"/>
    <w:uiPriority w:val="34"/>
    <w:rsid w:val="00F51DEF"/>
    <w:pPr>
      <w:ind w:left="720"/>
      <w:contextualSpacing/>
    </w:pPr>
  </w:style>
  <w:style w:type="paragraph" w:styleId="Caption">
    <w:name w:val="caption"/>
    <w:basedOn w:val="Normal"/>
    <w:next w:val="Normal"/>
    <w:uiPriority w:val="35"/>
    <w:unhideWhenUsed/>
    <w:rsid w:val="00F51DEF"/>
    <w:rPr>
      <w:b/>
      <w:bCs/>
      <w:color w:val="C5DBF2" w:themeColor="accent5" w:themeShade="E6"/>
      <w:sz w:val="18"/>
      <w:szCs w:val="18"/>
    </w:rPr>
  </w:style>
  <w:style w:type="paragraph" w:styleId="Bibliography">
    <w:name w:val="Bibliography"/>
    <w:basedOn w:val="Normal"/>
    <w:next w:val="Normal"/>
    <w:uiPriority w:val="37"/>
    <w:unhideWhenUsed/>
    <w:rsid w:val="00F51DEF"/>
  </w:style>
  <w:style w:type="paragraph" w:styleId="TOC1">
    <w:name w:val="toc 1"/>
    <w:basedOn w:val="Normal"/>
    <w:next w:val="Normal"/>
    <w:autoRedefine/>
    <w:uiPriority w:val="39"/>
    <w:unhideWhenUsed/>
    <w:rsid w:val="00F51DEF"/>
    <w:pPr>
      <w:spacing w:after="100"/>
    </w:pPr>
  </w:style>
  <w:style w:type="paragraph" w:styleId="TOC2">
    <w:name w:val="toc 2"/>
    <w:basedOn w:val="Normal"/>
    <w:next w:val="Normal"/>
    <w:autoRedefine/>
    <w:uiPriority w:val="39"/>
    <w:unhideWhenUsed/>
    <w:rsid w:val="00F51DEF"/>
    <w:pPr>
      <w:spacing w:after="100"/>
      <w:ind w:left="220"/>
    </w:pPr>
  </w:style>
  <w:style w:type="paragraph" w:styleId="TOC3">
    <w:name w:val="toc 3"/>
    <w:basedOn w:val="Normal"/>
    <w:next w:val="Normal"/>
    <w:autoRedefine/>
    <w:uiPriority w:val="39"/>
    <w:unhideWhenUsed/>
    <w:rsid w:val="00F51DEF"/>
    <w:pPr>
      <w:spacing w:after="100"/>
      <w:ind w:left="440"/>
    </w:pPr>
  </w:style>
  <w:style w:type="paragraph" w:styleId="TOC4">
    <w:name w:val="toc 4"/>
    <w:basedOn w:val="Normal"/>
    <w:next w:val="Normal"/>
    <w:autoRedefine/>
    <w:uiPriority w:val="39"/>
    <w:unhideWhenUsed/>
    <w:rsid w:val="00F51DEF"/>
    <w:pPr>
      <w:spacing w:after="100"/>
      <w:ind w:left="660"/>
    </w:pPr>
  </w:style>
  <w:style w:type="paragraph" w:styleId="TOC5">
    <w:name w:val="toc 5"/>
    <w:basedOn w:val="Normal"/>
    <w:next w:val="Normal"/>
    <w:autoRedefine/>
    <w:uiPriority w:val="39"/>
    <w:unhideWhenUsed/>
    <w:rsid w:val="00F51DEF"/>
    <w:pPr>
      <w:spacing w:after="100"/>
      <w:ind w:left="880"/>
    </w:pPr>
  </w:style>
  <w:style w:type="paragraph" w:styleId="TOC6">
    <w:name w:val="toc 6"/>
    <w:basedOn w:val="Normal"/>
    <w:next w:val="Normal"/>
    <w:autoRedefine/>
    <w:uiPriority w:val="39"/>
    <w:unhideWhenUsed/>
    <w:rsid w:val="00F51DEF"/>
    <w:pPr>
      <w:spacing w:after="100"/>
      <w:ind w:left="1100"/>
    </w:pPr>
  </w:style>
  <w:style w:type="paragraph" w:styleId="TOC7">
    <w:name w:val="toc 7"/>
    <w:basedOn w:val="Normal"/>
    <w:next w:val="Normal"/>
    <w:autoRedefine/>
    <w:uiPriority w:val="39"/>
    <w:unhideWhenUsed/>
    <w:rsid w:val="00F51DEF"/>
    <w:pPr>
      <w:spacing w:after="100"/>
      <w:ind w:left="1320"/>
    </w:pPr>
  </w:style>
  <w:style w:type="paragraph" w:styleId="TOC8">
    <w:name w:val="toc 8"/>
    <w:basedOn w:val="Normal"/>
    <w:next w:val="Normal"/>
    <w:autoRedefine/>
    <w:uiPriority w:val="39"/>
    <w:unhideWhenUsed/>
    <w:rsid w:val="00F51DEF"/>
    <w:pPr>
      <w:spacing w:after="100"/>
      <w:ind w:left="1540"/>
    </w:pPr>
  </w:style>
  <w:style w:type="paragraph" w:styleId="TOC9">
    <w:name w:val="toc 9"/>
    <w:basedOn w:val="Normal"/>
    <w:next w:val="Normal"/>
    <w:autoRedefine/>
    <w:uiPriority w:val="39"/>
    <w:unhideWhenUsed/>
    <w:rsid w:val="00F51DEF"/>
    <w:pPr>
      <w:spacing w:after="100"/>
      <w:ind w:left="1760"/>
    </w:pPr>
  </w:style>
  <w:style w:type="paragraph" w:styleId="TOCHeading">
    <w:name w:val="TOC Heading"/>
    <w:basedOn w:val="Heading1"/>
    <w:next w:val="Normal"/>
    <w:uiPriority w:val="39"/>
    <w:unhideWhenUsed/>
    <w:rsid w:val="00F51DEF"/>
    <w:pPr>
      <w:outlineLvl w:val="9"/>
    </w:pPr>
  </w:style>
  <w:style w:type="paragraph" w:styleId="BalloonText">
    <w:name w:val="Balloon Text"/>
    <w:basedOn w:val="Normal"/>
    <w:link w:val="BalloonTextChar"/>
    <w:uiPriority w:val="99"/>
    <w:unhideWhenUsed/>
    <w:rsid w:val="00F51DEF"/>
    <w:rPr>
      <w:rFonts w:cs="Tahoma"/>
      <w:sz w:val="16"/>
      <w:szCs w:val="16"/>
    </w:rPr>
  </w:style>
  <w:style w:type="character" w:customStyle="1" w:styleId="BalloonTextChar">
    <w:name w:val="Balloon Text Char"/>
    <w:basedOn w:val="DefaultParagraphFont"/>
    <w:link w:val="BalloonText"/>
    <w:uiPriority w:val="99"/>
    <w:rsid w:val="00F51DEF"/>
    <w:rPr>
      <w:rFonts w:ascii="Source Sans Pro" w:hAnsi="Source Sans Pro" w:cs="Tahoma"/>
      <w:sz w:val="16"/>
      <w:szCs w:val="16"/>
    </w:rPr>
  </w:style>
  <w:style w:type="paragraph" w:styleId="BlockText">
    <w:name w:val="Block Text"/>
    <w:basedOn w:val="Normal"/>
    <w:uiPriority w:val="99"/>
    <w:unhideWhenUsed/>
    <w:rsid w:val="00F51DEF"/>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F51DEF"/>
    <w:pPr>
      <w:spacing w:after="120"/>
    </w:pPr>
  </w:style>
  <w:style w:type="character" w:customStyle="1" w:styleId="BodyTextChar">
    <w:name w:val="Body Text Char"/>
    <w:basedOn w:val="DefaultParagraphFont"/>
    <w:link w:val="BodyText"/>
    <w:uiPriority w:val="99"/>
    <w:rsid w:val="00F51DEF"/>
    <w:rPr>
      <w:rFonts w:ascii="Source Sans Pro" w:hAnsi="Source Sans Pro"/>
      <w:sz w:val="24"/>
      <w:szCs w:val="22"/>
    </w:rPr>
  </w:style>
  <w:style w:type="paragraph" w:styleId="BodyText2">
    <w:name w:val="Body Text 2"/>
    <w:basedOn w:val="Normal"/>
    <w:link w:val="BodyText2Char"/>
    <w:uiPriority w:val="99"/>
    <w:unhideWhenUsed/>
    <w:rsid w:val="00F51DEF"/>
    <w:pPr>
      <w:spacing w:after="120" w:line="480" w:lineRule="auto"/>
    </w:pPr>
  </w:style>
  <w:style w:type="character" w:customStyle="1" w:styleId="BodyText2Char">
    <w:name w:val="Body Text 2 Char"/>
    <w:basedOn w:val="DefaultParagraphFont"/>
    <w:link w:val="BodyText2"/>
    <w:uiPriority w:val="99"/>
    <w:rsid w:val="00F51DEF"/>
    <w:rPr>
      <w:rFonts w:ascii="Source Sans Pro" w:hAnsi="Source Sans Pro"/>
      <w:sz w:val="24"/>
      <w:szCs w:val="22"/>
    </w:rPr>
  </w:style>
  <w:style w:type="paragraph" w:styleId="BodyText3">
    <w:name w:val="Body Text 3"/>
    <w:basedOn w:val="Normal"/>
    <w:link w:val="BodyText3Char"/>
    <w:uiPriority w:val="99"/>
    <w:unhideWhenUsed/>
    <w:rsid w:val="00F51DEF"/>
    <w:pPr>
      <w:spacing w:after="120"/>
    </w:pPr>
    <w:rPr>
      <w:sz w:val="16"/>
      <w:szCs w:val="16"/>
    </w:rPr>
  </w:style>
  <w:style w:type="character" w:customStyle="1" w:styleId="BodyText3Char">
    <w:name w:val="Body Text 3 Char"/>
    <w:basedOn w:val="DefaultParagraphFont"/>
    <w:link w:val="BodyText3"/>
    <w:uiPriority w:val="99"/>
    <w:rsid w:val="00F51DEF"/>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F51DEF"/>
    <w:pPr>
      <w:spacing w:after="200"/>
      <w:ind w:firstLine="360"/>
    </w:pPr>
  </w:style>
  <w:style w:type="character" w:customStyle="1" w:styleId="BodyTextFirstIndentChar">
    <w:name w:val="Body Text First Indent Char"/>
    <w:basedOn w:val="BodyTextChar"/>
    <w:link w:val="BodyTextFirstIndent"/>
    <w:uiPriority w:val="99"/>
    <w:rsid w:val="00F51DEF"/>
    <w:rPr>
      <w:rFonts w:ascii="Source Sans Pro" w:hAnsi="Source Sans Pro"/>
      <w:sz w:val="24"/>
      <w:szCs w:val="22"/>
    </w:rPr>
  </w:style>
  <w:style w:type="paragraph" w:styleId="BodyTextIndent">
    <w:name w:val="Body Text Indent"/>
    <w:basedOn w:val="Normal"/>
    <w:link w:val="BodyTextIndentChar"/>
    <w:uiPriority w:val="99"/>
    <w:unhideWhenUsed/>
    <w:rsid w:val="00F51DEF"/>
    <w:pPr>
      <w:spacing w:after="120"/>
      <w:ind w:left="360"/>
    </w:pPr>
  </w:style>
  <w:style w:type="character" w:customStyle="1" w:styleId="BodyTextIndentChar">
    <w:name w:val="Body Text Indent Char"/>
    <w:basedOn w:val="DefaultParagraphFont"/>
    <w:link w:val="BodyTextIndent"/>
    <w:uiPriority w:val="99"/>
    <w:rsid w:val="00F51DEF"/>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F51DEF"/>
    <w:pPr>
      <w:spacing w:after="200"/>
      <w:ind w:firstLine="360"/>
    </w:pPr>
  </w:style>
  <w:style w:type="character" w:customStyle="1" w:styleId="BodyTextFirstIndent2Char">
    <w:name w:val="Body Text First Indent 2 Char"/>
    <w:basedOn w:val="BodyTextIndentChar"/>
    <w:link w:val="BodyTextFirstIndent2"/>
    <w:uiPriority w:val="99"/>
    <w:rsid w:val="00F51DEF"/>
    <w:rPr>
      <w:rFonts w:ascii="Source Sans Pro" w:hAnsi="Source Sans Pro"/>
      <w:sz w:val="24"/>
      <w:szCs w:val="22"/>
    </w:rPr>
  </w:style>
  <w:style w:type="paragraph" w:styleId="BodyTextIndent2">
    <w:name w:val="Body Text Indent 2"/>
    <w:basedOn w:val="Normal"/>
    <w:link w:val="BodyTextIndent2Char"/>
    <w:uiPriority w:val="99"/>
    <w:unhideWhenUsed/>
    <w:rsid w:val="00F51DEF"/>
    <w:pPr>
      <w:spacing w:after="120" w:line="480" w:lineRule="auto"/>
      <w:ind w:left="360"/>
    </w:pPr>
  </w:style>
  <w:style w:type="character" w:customStyle="1" w:styleId="BodyTextIndent2Char">
    <w:name w:val="Body Text Indent 2 Char"/>
    <w:basedOn w:val="DefaultParagraphFont"/>
    <w:link w:val="BodyTextIndent2"/>
    <w:uiPriority w:val="99"/>
    <w:rsid w:val="00F51DEF"/>
    <w:rPr>
      <w:rFonts w:ascii="Source Sans Pro" w:hAnsi="Source Sans Pro"/>
      <w:sz w:val="24"/>
      <w:szCs w:val="22"/>
    </w:rPr>
  </w:style>
  <w:style w:type="paragraph" w:styleId="BodyTextIndent3">
    <w:name w:val="Body Text Indent 3"/>
    <w:basedOn w:val="Normal"/>
    <w:link w:val="BodyTextIndent3Char"/>
    <w:uiPriority w:val="99"/>
    <w:unhideWhenUsed/>
    <w:rsid w:val="00F51DEF"/>
    <w:pPr>
      <w:spacing w:after="120"/>
      <w:ind w:left="360"/>
    </w:pPr>
    <w:rPr>
      <w:sz w:val="16"/>
      <w:szCs w:val="16"/>
    </w:rPr>
  </w:style>
  <w:style w:type="character" w:customStyle="1" w:styleId="BodyTextIndent3Char">
    <w:name w:val="Body Text Indent 3 Char"/>
    <w:basedOn w:val="DefaultParagraphFont"/>
    <w:link w:val="BodyTextIndent3"/>
    <w:uiPriority w:val="99"/>
    <w:rsid w:val="00F51DEF"/>
    <w:rPr>
      <w:rFonts w:ascii="Source Sans Pro" w:hAnsi="Source Sans Pro"/>
      <w:sz w:val="16"/>
      <w:szCs w:val="16"/>
    </w:rPr>
  </w:style>
  <w:style w:type="paragraph" w:styleId="Closing">
    <w:name w:val="Closing"/>
    <w:basedOn w:val="Normal"/>
    <w:link w:val="ClosingChar"/>
    <w:uiPriority w:val="99"/>
    <w:unhideWhenUsed/>
    <w:rsid w:val="00F51DEF"/>
    <w:pPr>
      <w:ind w:left="4320"/>
    </w:pPr>
  </w:style>
  <w:style w:type="character" w:customStyle="1" w:styleId="ClosingChar">
    <w:name w:val="Closing Char"/>
    <w:basedOn w:val="DefaultParagraphFont"/>
    <w:link w:val="Closing"/>
    <w:uiPriority w:val="99"/>
    <w:rsid w:val="00F51DEF"/>
    <w:rPr>
      <w:rFonts w:ascii="Source Sans Pro" w:hAnsi="Source Sans Pro"/>
      <w:sz w:val="24"/>
      <w:szCs w:val="22"/>
    </w:rPr>
  </w:style>
  <w:style w:type="character" w:styleId="CommentReference">
    <w:name w:val="annotation reference"/>
    <w:basedOn w:val="DefaultParagraphFont"/>
    <w:uiPriority w:val="99"/>
    <w:unhideWhenUsed/>
    <w:qFormat/>
    <w:rsid w:val="00F51DEF"/>
    <w:rPr>
      <w:rFonts w:ascii="Source Sans Pro" w:hAnsi="Source Sans Pro"/>
      <w:sz w:val="20"/>
      <w:szCs w:val="16"/>
    </w:rPr>
  </w:style>
  <w:style w:type="paragraph" w:styleId="CommentText">
    <w:name w:val="annotation text"/>
    <w:basedOn w:val="Normal"/>
    <w:link w:val="CommentTextChar"/>
    <w:uiPriority w:val="99"/>
    <w:unhideWhenUsed/>
    <w:rsid w:val="00F51DEF"/>
    <w:rPr>
      <w:szCs w:val="20"/>
    </w:rPr>
  </w:style>
  <w:style w:type="character" w:customStyle="1" w:styleId="CommentTextChar">
    <w:name w:val="Comment Text Char"/>
    <w:basedOn w:val="DefaultParagraphFont"/>
    <w:link w:val="CommentText"/>
    <w:uiPriority w:val="99"/>
    <w:rsid w:val="00F51DEF"/>
    <w:rPr>
      <w:rFonts w:ascii="Source Sans Pro" w:hAnsi="Source Sans Pro"/>
      <w:sz w:val="24"/>
    </w:rPr>
  </w:style>
  <w:style w:type="paragraph" w:styleId="CommentSubject">
    <w:name w:val="annotation subject"/>
    <w:basedOn w:val="CommentText"/>
    <w:next w:val="CommentText"/>
    <w:link w:val="CommentSubjectChar"/>
    <w:uiPriority w:val="99"/>
    <w:unhideWhenUsed/>
    <w:rsid w:val="00F51DEF"/>
    <w:rPr>
      <w:b/>
      <w:bCs/>
    </w:rPr>
  </w:style>
  <w:style w:type="character" w:customStyle="1" w:styleId="CommentSubjectChar">
    <w:name w:val="Comment Subject Char"/>
    <w:basedOn w:val="CommentTextChar"/>
    <w:link w:val="CommentSubject"/>
    <w:uiPriority w:val="99"/>
    <w:rsid w:val="00F51DEF"/>
    <w:rPr>
      <w:rFonts w:ascii="Source Sans Pro" w:hAnsi="Source Sans Pro"/>
      <w:b/>
      <w:bCs/>
      <w:sz w:val="24"/>
    </w:rPr>
  </w:style>
  <w:style w:type="paragraph" w:styleId="Date">
    <w:name w:val="Date"/>
    <w:basedOn w:val="Normal"/>
    <w:next w:val="Normal"/>
    <w:link w:val="DateChar"/>
    <w:uiPriority w:val="99"/>
    <w:unhideWhenUsed/>
    <w:rsid w:val="00F51DEF"/>
  </w:style>
  <w:style w:type="character" w:customStyle="1" w:styleId="DateChar">
    <w:name w:val="Date Char"/>
    <w:basedOn w:val="DefaultParagraphFont"/>
    <w:link w:val="Date"/>
    <w:uiPriority w:val="99"/>
    <w:rsid w:val="00F51DEF"/>
    <w:rPr>
      <w:rFonts w:ascii="Source Sans Pro" w:hAnsi="Source Sans Pro"/>
      <w:sz w:val="24"/>
      <w:szCs w:val="22"/>
    </w:rPr>
  </w:style>
  <w:style w:type="paragraph" w:styleId="DocumentMap">
    <w:name w:val="Document Map"/>
    <w:basedOn w:val="Normal"/>
    <w:link w:val="DocumentMapChar"/>
    <w:uiPriority w:val="99"/>
    <w:unhideWhenUsed/>
    <w:rsid w:val="00F51DEF"/>
    <w:rPr>
      <w:rFonts w:cs="Tahoma"/>
      <w:sz w:val="16"/>
      <w:szCs w:val="16"/>
    </w:rPr>
  </w:style>
  <w:style w:type="character" w:customStyle="1" w:styleId="DocumentMapChar">
    <w:name w:val="Document Map Char"/>
    <w:basedOn w:val="DefaultParagraphFont"/>
    <w:link w:val="DocumentMap"/>
    <w:uiPriority w:val="99"/>
    <w:rsid w:val="00F51DEF"/>
    <w:rPr>
      <w:rFonts w:ascii="Source Sans Pro" w:hAnsi="Source Sans Pro" w:cs="Tahoma"/>
      <w:sz w:val="16"/>
      <w:szCs w:val="16"/>
    </w:rPr>
  </w:style>
  <w:style w:type="character" w:styleId="EndnoteReference">
    <w:name w:val="endnote reference"/>
    <w:basedOn w:val="DefaultParagraphFont"/>
    <w:uiPriority w:val="99"/>
    <w:unhideWhenUsed/>
    <w:rsid w:val="00F51DEF"/>
    <w:rPr>
      <w:vertAlign w:val="superscript"/>
    </w:rPr>
  </w:style>
  <w:style w:type="paragraph" w:styleId="EndnoteText">
    <w:name w:val="endnote text"/>
    <w:basedOn w:val="Normal"/>
    <w:link w:val="EndnoteTextChar"/>
    <w:uiPriority w:val="99"/>
    <w:unhideWhenUsed/>
    <w:rsid w:val="00F51DEF"/>
    <w:rPr>
      <w:szCs w:val="20"/>
    </w:rPr>
  </w:style>
  <w:style w:type="character" w:customStyle="1" w:styleId="EndnoteTextChar">
    <w:name w:val="Endnote Text Char"/>
    <w:basedOn w:val="DefaultParagraphFont"/>
    <w:link w:val="EndnoteText"/>
    <w:uiPriority w:val="99"/>
    <w:rsid w:val="00F51DEF"/>
    <w:rPr>
      <w:rFonts w:ascii="Source Sans Pro" w:hAnsi="Source Sans Pro"/>
      <w:sz w:val="24"/>
    </w:rPr>
  </w:style>
  <w:style w:type="paragraph" w:styleId="EnvelopeReturn">
    <w:name w:val="envelope return"/>
    <w:basedOn w:val="Normal"/>
    <w:uiPriority w:val="99"/>
    <w:unhideWhenUsed/>
    <w:rsid w:val="00F51DEF"/>
    <w:rPr>
      <w:rFonts w:asciiTheme="majorHAnsi" w:eastAsia="Times New Roman" w:hAnsiTheme="majorHAnsi"/>
      <w:szCs w:val="20"/>
    </w:rPr>
  </w:style>
  <w:style w:type="character" w:styleId="FollowedHyperlink">
    <w:name w:val="FollowedHyperlink"/>
    <w:basedOn w:val="DefaultParagraphFont"/>
    <w:uiPriority w:val="99"/>
    <w:unhideWhenUsed/>
    <w:rsid w:val="00F51DEF"/>
    <w:rPr>
      <w:color w:val="800080"/>
      <w:u w:val="single"/>
    </w:rPr>
  </w:style>
  <w:style w:type="paragraph" w:styleId="Footer">
    <w:name w:val="footer"/>
    <w:basedOn w:val="Normal"/>
    <w:link w:val="FooterChar"/>
    <w:uiPriority w:val="99"/>
    <w:unhideWhenUsed/>
    <w:rsid w:val="00F51DEF"/>
    <w:pPr>
      <w:tabs>
        <w:tab w:val="center" w:pos="4680"/>
        <w:tab w:val="right" w:pos="9360"/>
      </w:tabs>
    </w:pPr>
  </w:style>
  <w:style w:type="character" w:customStyle="1" w:styleId="FooterChar">
    <w:name w:val="Footer Char"/>
    <w:basedOn w:val="DefaultParagraphFont"/>
    <w:link w:val="Footer"/>
    <w:uiPriority w:val="99"/>
    <w:rsid w:val="00F51DEF"/>
    <w:rPr>
      <w:rFonts w:ascii="Source Sans Pro" w:hAnsi="Source Sans Pro"/>
      <w:sz w:val="24"/>
      <w:szCs w:val="22"/>
    </w:rPr>
  </w:style>
  <w:style w:type="character" w:styleId="FootnoteReference">
    <w:name w:val="footnote reference"/>
    <w:basedOn w:val="DefaultParagraphFont"/>
    <w:uiPriority w:val="99"/>
    <w:unhideWhenUsed/>
    <w:rsid w:val="00F51DEF"/>
    <w:rPr>
      <w:vertAlign w:val="superscript"/>
    </w:rPr>
  </w:style>
  <w:style w:type="paragraph" w:styleId="FootnoteText">
    <w:name w:val="footnote text"/>
    <w:basedOn w:val="Normal"/>
    <w:link w:val="FootnoteTextChar"/>
    <w:uiPriority w:val="99"/>
    <w:unhideWhenUsed/>
    <w:qFormat/>
    <w:rsid w:val="00F51DEF"/>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F51DEF"/>
    <w:rPr>
      <w:rFonts w:ascii="Source Sans Pro" w:hAnsi="Source Sans Pro"/>
      <w:sz w:val="18"/>
    </w:rPr>
  </w:style>
  <w:style w:type="paragraph" w:styleId="Header">
    <w:name w:val="header"/>
    <w:basedOn w:val="Normal"/>
    <w:link w:val="HeaderChar"/>
    <w:uiPriority w:val="99"/>
    <w:unhideWhenUsed/>
    <w:rsid w:val="00F51DEF"/>
    <w:pPr>
      <w:tabs>
        <w:tab w:val="center" w:pos="4680"/>
        <w:tab w:val="right" w:pos="9360"/>
      </w:tabs>
    </w:pPr>
  </w:style>
  <w:style w:type="character" w:customStyle="1" w:styleId="HeaderChar">
    <w:name w:val="Header Char"/>
    <w:basedOn w:val="DefaultParagraphFont"/>
    <w:link w:val="Header"/>
    <w:uiPriority w:val="99"/>
    <w:rsid w:val="00F51DEF"/>
    <w:rPr>
      <w:rFonts w:ascii="Source Sans Pro" w:hAnsi="Source Sans Pro"/>
      <w:sz w:val="24"/>
      <w:szCs w:val="22"/>
    </w:rPr>
  </w:style>
  <w:style w:type="character" w:styleId="HTMLAcronym">
    <w:name w:val="HTML Acronym"/>
    <w:basedOn w:val="DefaultParagraphFont"/>
    <w:uiPriority w:val="99"/>
    <w:unhideWhenUsed/>
    <w:rsid w:val="00F51DEF"/>
  </w:style>
  <w:style w:type="paragraph" w:styleId="HTMLAddress">
    <w:name w:val="HTML Address"/>
    <w:basedOn w:val="Normal"/>
    <w:link w:val="HTMLAddressChar"/>
    <w:uiPriority w:val="99"/>
    <w:unhideWhenUsed/>
    <w:rsid w:val="00F51DEF"/>
    <w:rPr>
      <w:i/>
      <w:iCs/>
    </w:rPr>
  </w:style>
  <w:style w:type="character" w:customStyle="1" w:styleId="HTMLAddressChar">
    <w:name w:val="HTML Address Char"/>
    <w:basedOn w:val="DefaultParagraphFont"/>
    <w:link w:val="HTMLAddress"/>
    <w:uiPriority w:val="99"/>
    <w:rsid w:val="00F51DEF"/>
    <w:rPr>
      <w:rFonts w:ascii="Source Sans Pro" w:hAnsi="Source Sans Pro"/>
      <w:i/>
      <w:iCs/>
      <w:sz w:val="24"/>
      <w:szCs w:val="22"/>
    </w:rPr>
  </w:style>
  <w:style w:type="character" w:styleId="HTMLCite">
    <w:name w:val="HTML Cite"/>
    <w:basedOn w:val="DefaultParagraphFont"/>
    <w:uiPriority w:val="99"/>
    <w:unhideWhenUsed/>
    <w:rsid w:val="00F51DEF"/>
    <w:rPr>
      <w:i/>
      <w:iCs/>
    </w:rPr>
  </w:style>
  <w:style w:type="character" w:styleId="HTMLCode">
    <w:name w:val="HTML Code"/>
    <w:basedOn w:val="DefaultParagraphFont"/>
    <w:uiPriority w:val="99"/>
    <w:unhideWhenUsed/>
    <w:rsid w:val="00F51DEF"/>
    <w:rPr>
      <w:rFonts w:ascii="Consolas" w:hAnsi="Consolas"/>
      <w:sz w:val="20"/>
      <w:szCs w:val="20"/>
    </w:rPr>
  </w:style>
  <w:style w:type="character" w:styleId="HTMLDefinition">
    <w:name w:val="HTML Definition"/>
    <w:basedOn w:val="DefaultParagraphFont"/>
    <w:uiPriority w:val="99"/>
    <w:unhideWhenUsed/>
    <w:rsid w:val="00F51DEF"/>
    <w:rPr>
      <w:i/>
      <w:iCs/>
    </w:rPr>
  </w:style>
  <w:style w:type="character" w:styleId="HTMLKeyboard">
    <w:name w:val="HTML Keyboard"/>
    <w:basedOn w:val="DefaultParagraphFont"/>
    <w:uiPriority w:val="99"/>
    <w:unhideWhenUsed/>
    <w:rsid w:val="00F51DEF"/>
    <w:rPr>
      <w:rFonts w:ascii="Consolas" w:hAnsi="Consolas"/>
      <w:sz w:val="20"/>
      <w:szCs w:val="20"/>
    </w:rPr>
  </w:style>
  <w:style w:type="paragraph" w:styleId="HTMLPreformatted">
    <w:name w:val="HTML Preformatted"/>
    <w:basedOn w:val="Normal"/>
    <w:link w:val="HTMLPreformattedChar"/>
    <w:uiPriority w:val="99"/>
    <w:unhideWhenUsed/>
    <w:rsid w:val="00F51DEF"/>
    <w:rPr>
      <w:rFonts w:ascii="Consolas" w:hAnsi="Consolas"/>
      <w:szCs w:val="20"/>
    </w:rPr>
  </w:style>
  <w:style w:type="character" w:customStyle="1" w:styleId="HTMLPreformattedChar">
    <w:name w:val="HTML Preformatted Char"/>
    <w:basedOn w:val="DefaultParagraphFont"/>
    <w:link w:val="HTMLPreformatted"/>
    <w:uiPriority w:val="99"/>
    <w:rsid w:val="00F51DEF"/>
    <w:rPr>
      <w:rFonts w:ascii="Consolas" w:hAnsi="Consolas"/>
      <w:sz w:val="24"/>
    </w:rPr>
  </w:style>
  <w:style w:type="character" w:styleId="HTMLSample">
    <w:name w:val="HTML Sample"/>
    <w:basedOn w:val="DefaultParagraphFont"/>
    <w:uiPriority w:val="99"/>
    <w:unhideWhenUsed/>
    <w:rsid w:val="00F51DEF"/>
    <w:rPr>
      <w:rFonts w:ascii="Consolas" w:hAnsi="Consolas"/>
      <w:sz w:val="24"/>
      <w:szCs w:val="24"/>
    </w:rPr>
  </w:style>
  <w:style w:type="character" w:styleId="HTMLTypewriter">
    <w:name w:val="HTML Typewriter"/>
    <w:basedOn w:val="DefaultParagraphFont"/>
    <w:uiPriority w:val="99"/>
    <w:unhideWhenUsed/>
    <w:rsid w:val="00F51DEF"/>
    <w:rPr>
      <w:rFonts w:ascii="Consolas" w:hAnsi="Consolas"/>
      <w:sz w:val="20"/>
      <w:szCs w:val="20"/>
    </w:rPr>
  </w:style>
  <w:style w:type="character" w:styleId="HTMLVariable">
    <w:name w:val="HTML Variable"/>
    <w:basedOn w:val="DefaultParagraphFont"/>
    <w:uiPriority w:val="99"/>
    <w:unhideWhenUsed/>
    <w:rsid w:val="00F51DEF"/>
    <w:rPr>
      <w:i/>
      <w:iCs/>
    </w:rPr>
  </w:style>
  <w:style w:type="paragraph" w:styleId="Index1">
    <w:name w:val="index 1"/>
    <w:basedOn w:val="Normal"/>
    <w:next w:val="Normal"/>
    <w:autoRedefine/>
    <w:uiPriority w:val="99"/>
    <w:unhideWhenUsed/>
    <w:rsid w:val="00F51DEF"/>
    <w:pPr>
      <w:ind w:left="220" w:hanging="220"/>
    </w:pPr>
  </w:style>
  <w:style w:type="paragraph" w:styleId="Index2">
    <w:name w:val="index 2"/>
    <w:basedOn w:val="Normal"/>
    <w:next w:val="Normal"/>
    <w:autoRedefine/>
    <w:uiPriority w:val="99"/>
    <w:unhideWhenUsed/>
    <w:rsid w:val="00F51DEF"/>
    <w:pPr>
      <w:ind w:left="440" w:hanging="220"/>
    </w:pPr>
  </w:style>
  <w:style w:type="paragraph" w:styleId="Index3">
    <w:name w:val="index 3"/>
    <w:basedOn w:val="Normal"/>
    <w:next w:val="Normal"/>
    <w:autoRedefine/>
    <w:uiPriority w:val="99"/>
    <w:unhideWhenUsed/>
    <w:rsid w:val="00F51DEF"/>
    <w:pPr>
      <w:ind w:left="660" w:hanging="220"/>
    </w:pPr>
  </w:style>
  <w:style w:type="paragraph" w:styleId="Index4">
    <w:name w:val="index 4"/>
    <w:basedOn w:val="Normal"/>
    <w:next w:val="Normal"/>
    <w:autoRedefine/>
    <w:uiPriority w:val="99"/>
    <w:unhideWhenUsed/>
    <w:rsid w:val="00F51DEF"/>
    <w:pPr>
      <w:ind w:left="880" w:hanging="220"/>
    </w:pPr>
  </w:style>
  <w:style w:type="paragraph" w:styleId="Index6">
    <w:name w:val="index 6"/>
    <w:basedOn w:val="Normal"/>
    <w:next w:val="Normal"/>
    <w:autoRedefine/>
    <w:uiPriority w:val="99"/>
    <w:unhideWhenUsed/>
    <w:rsid w:val="00F51DEF"/>
    <w:pPr>
      <w:ind w:left="1320" w:hanging="220"/>
    </w:pPr>
  </w:style>
  <w:style w:type="paragraph" w:styleId="Index5">
    <w:name w:val="index 5"/>
    <w:basedOn w:val="Normal"/>
    <w:next w:val="Normal"/>
    <w:autoRedefine/>
    <w:uiPriority w:val="99"/>
    <w:unhideWhenUsed/>
    <w:rsid w:val="00F51DEF"/>
    <w:pPr>
      <w:ind w:left="1100" w:hanging="220"/>
    </w:pPr>
  </w:style>
  <w:style w:type="paragraph" w:styleId="Index7">
    <w:name w:val="index 7"/>
    <w:basedOn w:val="Normal"/>
    <w:next w:val="Normal"/>
    <w:autoRedefine/>
    <w:uiPriority w:val="99"/>
    <w:unhideWhenUsed/>
    <w:rsid w:val="00F51DEF"/>
    <w:pPr>
      <w:ind w:left="1540" w:hanging="220"/>
    </w:pPr>
  </w:style>
  <w:style w:type="paragraph" w:styleId="Index8">
    <w:name w:val="index 8"/>
    <w:basedOn w:val="Normal"/>
    <w:next w:val="Normal"/>
    <w:autoRedefine/>
    <w:uiPriority w:val="99"/>
    <w:unhideWhenUsed/>
    <w:rsid w:val="00F51DEF"/>
    <w:pPr>
      <w:ind w:left="1760" w:hanging="220"/>
    </w:pPr>
  </w:style>
  <w:style w:type="paragraph" w:styleId="Index9">
    <w:name w:val="index 9"/>
    <w:basedOn w:val="Normal"/>
    <w:next w:val="Normal"/>
    <w:autoRedefine/>
    <w:uiPriority w:val="99"/>
    <w:unhideWhenUsed/>
    <w:rsid w:val="00F51DEF"/>
    <w:pPr>
      <w:ind w:left="1980" w:hanging="220"/>
    </w:pPr>
  </w:style>
  <w:style w:type="paragraph" w:styleId="IndexHeading">
    <w:name w:val="index heading"/>
    <w:basedOn w:val="Normal"/>
    <w:next w:val="Index1"/>
    <w:uiPriority w:val="99"/>
    <w:unhideWhenUsed/>
    <w:rsid w:val="00F51DEF"/>
    <w:rPr>
      <w:rFonts w:asciiTheme="majorHAnsi" w:eastAsia="Times New Roman" w:hAnsiTheme="majorHAnsi"/>
      <w:b/>
      <w:bCs/>
    </w:rPr>
  </w:style>
  <w:style w:type="character" w:styleId="LineNumber">
    <w:name w:val="line number"/>
    <w:basedOn w:val="DefaultParagraphFont"/>
    <w:uiPriority w:val="99"/>
    <w:unhideWhenUsed/>
    <w:rsid w:val="00F51DEF"/>
  </w:style>
  <w:style w:type="paragraph" w:styleId="List">
    <w:name w:val="List"/>
    <w:basedOn w:val="Normal"/>
    <w:uiPriority w:val="99"/>
    <w:unhideWhenUsed/>
    <w:rsid w:val="00F51DEF"/>
    <w:pPr>
      <w:ind w:left="360" w:hanging="360"/>
      <w:contextualSpacing/>
    </w:pPr>
  </w:style>
  <w:style w:type="paragraph" w:styleId="List2">
    <w:name w:val="List 2"/>
    <w:basedOn w:val="Normal"/>
    <w:uiPriority w:val="99"/>
    <w:unhideWhenUsed/>
    <w:rsid w:val="00F51DEF"/>
    <w:pPr>
      <w:ind w:left="720" w:hanging="360"/>
      <w:contextualSpacing/>
    </w:pPr>
  </w:style>
  <w:style w:type="paragraph" w:styleId="List3">
    <w:name w:val="List 3"/>
    <w:basedOn w:val="Normal"/>
    <w:uiPriority w:val="99"/>
    <w:unhideWhenUsed/>
    <w:rsid w:val="00F51DEF"/>
    <w:pPr>
      <w:ind w:left="1080" w:hanging="360"/>
      <w:contextualSpacing/>
    </w:pPr>
  </w:style>
  <w:style w:type="paragraph" w:styleId="List4">
    <w:name w:val="List 4"/>
    <w:basedOn w:val="Normal"/>
    <w:uiPriority w:val="99"/>
    <w:unhideWhenUsed/>
    <w:rsid w:val="00F51DEF"/>
    <w:pPr>
      <w:ind w:left="1440" w:hanging="360"/>
      <w:contextualSpacing/>
    </w:pPr>
  </w:style>
  <w:style w:type="paragraph" w:styleId="List5">
    <w:name w:val="List 5"/>
    <w:basedOn w:val="Normal"/>
    <w:uiPriority w:val="99"/>
    <w:unhideWhenUsed/>
    <w:rsid w:val="00F51DEF"/>
    <w:pPr>
      <w:ind w:left="1800" w:hanging="360"/>
      <w:contextualSpacing/>
    </w:pPr>
  </w:style>
  <w:style w:type="paragraph" w:styleId="ListBullet">
    <w:name w:val="List Bullet"/>
    <w:basedOn w:val="Normal"/>
    <w:uiPriority w:val="99"/>
    <w:unhideWhenUsed/>
    <w:qFormat/>
    <w:rsid w:val="00F51DEF"/>
    <w:pPr>
      <w:numPr>
        <w:numId w:val="1"/>
      </w:numPr>
      <w:ind w:left="720" w:hanging="288"/>
    </w:pPr>
  </w:style>
  <w:style w:type="paragraph" w:styleId="ListBullet2">
    <w:name w:val="List Bullet 2"/>
    <w:basedOn w:val="Normal"/>
    <w:uiPriority w:val="99"/>
    <w:unhideWhenUsed/>
    <w:rsid w:val="00F51DEF"/>
    <w:pPr>
      <w:numPr>
        <w:numId w:val="3"/>
      </w:numPr>
      <w:ind w:left="1008" w:hanging="288"/>
    </w:pPr>
  </w:style>
  <w:style w:type="paragraph" w:styleId="ListBullet3">
    <w:name w:val="List Bullet 3"/>
    <w:basedOn w:val="Normal"/>
    <w:uiPriority w:val="99"/>
    <w:unhideWhenUsed/>
    <w:rsid w:val="00F51DEF"/>
    <w:pPr>
      <w:numPr>
        <w:numId w:val="4"/>
      </w:numPr>
      <w:ind w:left="1440"/>
      <w:contextualSpacing/>
    </w:pPr>
  </w:style>
  <w:style w:type="paragraph" w:styleId="ListBullet4">
    <w:name w:val="List Bullet 4"/>
    <w:basedOn w:val="Normal"/>
    <w:uiPriority w:val="99"/>
    <w:unhideWhenUsed/>
    <w:rsid w:val="00F51DEF"/>
    <w:pPr>
      <w:numPr>
        <w:numId w:val="5"/>
      </w:numPr>
      <w:contextualSpacing/>
    </w:pPr>
  </w:style>
  <w:style w:type="paragraph" w:styleId="ListContinue">
    <w:name w:val="List Continue"/>
    <w:basedOn w:val="Normal"/>
    <w:uiPriority w:val="99"/>
    <w:unhideWhenUsed/>
    <w:rsid w:val="00F51DEF"/>
    <w:pPr>
      <w:spacing w:after="120"/>
      <w:ind w:left="360"/>
      <w:contextualSpacing/>
    </w:pPr>
  </w:style>
  <w:style w:type="paragraph" w:styleId="ListContinue2">
    <w:name w:val="List Continue 2"/>
    <w:basedOn w:val="Normal"/>
    <w:uiPriority w:val="99"/>
    <w:unhideWhenUsed/>
    <w:rsid w:val="00F51DEF"/>
    <w:pPr>
      <w:spacing w:after="120"/>
      <w:ind w:left="720"/>
      <w:contextualSpacing/>
    </w:pPr>
  </w:style>
  <w:style w:type="paragraph" w:styleId="ListContinue3">
    <w:name w:val="List Continue 3"/>
    <w:basedOn w:val="Normal"/>
    <w:uiPriority w:val="99"/>
    <w:unhideWhenUsed/>
    <w:rsid w:val="00F51DEF"/>
    <w:pPr>
      <w:spacing w:after="120"/>
      <w:ind w:left="1080"/>
      <w:contextualSpacing/>
    </w:pPr>
  </w:style>
  <w:style w:type="paragraph" w:styleId="ListContinue4">
    <w:name w:val="List Continue 4"/>
    <w:basedOn w:val="Normal"/>
    <w:uiPriority w:val="99"/>
    <w:unhideWhenUsed/>
    <w:rsid w:val="00F51DEF"/>
    <w:pPr>
      <w:spacing w:after="120"/>
      <w:ind w:left="1440"/>
      <w:contextualSpacing/>
    </w:pPr>
  </w:style>
  <w:style w:type="paragraph" w:styleId="ListContinue5">
    <w:name w:val="List Continue 5"/>
    <w:basedOn w:val="Normal"/>
    <w:uiPriority w:val="99"/>
    <w:unhideWhenUsed/>
    <w:rsid w:val="00F51DEF"/>
    <w:pPr>
      <w:spacing w:after="120"/>
      <w:ind w:left="1800"/>
      <w:contextualSpacing/>
    </w:pPr>
  </w:style>
  <w:style w:type="paragraph" w:styleId="ListNumber">
    <w:name w:val="List Number"/>
    <w:basedOn w:val="Normal"/>
    <w:uiPriority w:val="99"/>
    <w:unhideWhenUsed/>
    <w:rsid w:val="00F51DEF"/>
    <w:pPr>
      <w:numPr>
        <w:numId w:val="2"/>
      </w:numPr>
      <w:contextualSpacing/>
    </w:pPr>
  </w:style>
  <w:style w:type="paragraph" w:styleId="ListNumber2">
    <w:name w:val="List Number 2"/>
    <w:basedOn w:val="Normal"/>
    <w:uiPriority w:val="99"/>
    <w:unhideWhenUsed/>
    <w:rsid w:val="00F51DEF"/>
    <w:pPr>
      <w:numPr>
        <w:numId w:val="6"/>
      </w:numPr>
      <w:contextualSpacing/>
    </w:pPr>
  </w:style>
  <w:style w:type="paragraph" w:styleId="ListNumber3">
    <w:name w:val="List Number 3"/>
    <w:basedOn w:val="Normal"/>
    <w:uiPriority w:val="99"/>
    <w:unhideWhenUsed/>
    <w:rsid w:val="00F51DEF"/>
    <w:pPr>
      <w:numPr>
        <w:numId w:val="7"/>
      </w:numPr>
      <w:contextualSpacing/>
    </w:pPr>
  </w:style>
  <w:style w:type="paragraph" w:styleId="ListNumber4">
    <w:name w:val="List Number 4"/>
    <w:basedOn w:val="Normal"/>
    <w:uiPriority w:val="99"/>
    <w:unhideWhenUsed/>
    <w:rsid w:val="00F51DEF"/>
    <w:pPr>
      <w:numPr>
        <w:numId w:val="8"/>
      </w:numPr>
      <w:contextualSpacing/>
    </w:pPr>
  </w:style>
  <w:style w:type="paragraph" w:styleId="ListNumber5">
    <w:name w:val="List Number 5"/>
    <w:basedOn w:val="Normal"/>
    <w:uiPriority w:val="99"/>
    <w:unhideWhenUsed/>
    <w:rsid w:val="00F51DEF"/>
    <w:pPr>
      <w:numPr>
        <w:numId w:val="9"/>
      </w:numPr>
      <w:contextualSpacing/>
    </w:pPr>
  </w:style>
  <w:style w:type="paragraph" w:styleId="MacroText">
    <w:name w:val="macro"/>
    <w:link w:val="MacroTextChar"/>
    <w:uiPriority w:val="99"/>
    <w:unhideWhenUsed/>
    <w:rsid w:val="00F51DEF"/>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F51DEF"/>
    <w:rPr>
      <w:rFonts w:ascii="Consolas" w:hAnsi="Consolas"/>
    </w:rPr>
  </w:style>
  <w:style w:type="paragraph" w:styleId="MessageHeader">
    <w:name w:val="Message Header"/>
    <w:basedOn w:val="Normal"/>
    <w:link w:val="MessageHeaderChar"/>
    <w:uiPriority w:val="99"/>
    <w:unhideWhenUsed/>
    <w:rsid w:val="00F51DEF"/>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F51DEF"/>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F51DEF"/>
    <w:rPr>
      <w:rFonts w:ascii="Times New Roman" w:hAnsi="Times New Roman"/>
      <w:szCs w:val="24"/>
    </w:rPr>
  </w:style>
  <w:style w:type="paragraph" w:styleId="NormalIndent">
    <w:name w:val="Normal Indent"/>
    <w:basedOn w:val="Normal"/>
    <w:uiPriority w:val="99"/>
    <w:unhideWhenUsed/>
    <w:rsid w:val="00F51DEF"/>
    <w:pPr>
      <w:ind w:left="720"/>
    </w:pPr>
  </w:style>
  <w:style w:type="paragraph" w:styleId="NoteHeading">
    <w:name w:val="Note Heading"/>
    <w:basedOn w:val="Normal"/>
    <w:next w:val="Normal"/>
    <w:link w:val="NoteHeadingChar"/>
    <w:uiPriority w:val="99"/>
    <w:unhideWhenUsed/>
    <w:rsid w:val="00F51DEF"/>
  </w:style>
  <w:style w:type="character" w:customStyle="1" w:styleId="NoteHeadingChar">
    <w:name w:val="Note Heading Char"/>
    <w:basedOn w:val="DefaultParagraphFont"/>
    <w:link w:val="NoteHeading"/>
    <w:uiPriority w:val="99"/>
    <w:rsid w:val="00F51DEF"/>
    <w:rPr>
      <w:rFonts w:ascii="Source Sans Pro" w:hAnsi="Source Sans Pro"/>
      <w:sz w:val="24"/>
      <w:szCs w:val="22"/>
    </w:rPr>
  </w:style>
  <w:style w:type="character" w:styleId="PageNumber">
    <w:name w:val="page number"/>
    <w:basedOn w:val="DefaultParagraphFont"/>
    <w:uiPriority w:val="99"/>
    <w:unhideWhenUsed/>
    <w:rsid w:val="00F51DEF"/>
  </w:style>
  <w:style w:type="character" w:styleId="PlaceholderText">
    <w:name w:val="Placeholder Text"/>
    <w:basedOn w:val="DefaultParagraphFont"/>
    <w:uiPriority w:val="99"/>
    <w:semiHidden/>
    <w:rsid w:val="00F51DEF"/>
    <w:rPr>
      <w:color w:val="808080"/>
    </w:rPr>
  </w:style>
  <w:style w:type="paragraph" w:styleId="PlainText">
    <w:name w:val="Plain Text"/>
    <w:basedOn w:val="Normal"/>
    <w:link w:val="PlainTextChar"/>
    <w:uiPriority w:val="99"/>
    <w:unhideWhenUsed/>
    <w:rsid w:val="00F51DEF"/>
    <w:rPr>
      <w:rFonts w:ascii="Consolas" w:hAnsi="Consolas"/>
      <w:sz w:val="21"/>
      <w:szCs w:val="21"/>
    </w:rPr>
  </w:style>
  <w:style w:type="character" w:customStyle="1" w:styleId="PlainTextChar">
    <w:name w:val="Plain Text Char"/>
    <w:basedOn w:val="DefaultParagraphFont"/>
    <w:link w:val="PlainText"/>
    <w:uiPriority w:val="99"/>
    <w:rsid w:val="00F51DEF"/>
    <w:rPr>
      <w:rFonts w:ascii="Consolas" w:hAnsi="Consolas"/>
      <w:sz w:val="21"/>
      <w:szCs w:val="21"/>
    </w:rPr>
  </w:style>
  <w:style w:type="paragraph" w:styleId="Salutation">
    <w:name w:val="Salutation"/>
    <w:basedOn w:val="Normal"/>
    <w:next w:val="Normal"/>
    <w:link w:val="SalutationChar"/>
    <w:uiPriority w:val="99"/>
    <w:unhideWhenUsed/>
    <w:rsid w:val="00F51DEF"/>
  </w:style>
  <w:style w:type="character" w:customStyle="1" w:styleId="SalutationChar">
    <w:name w:val="Salutation Char"/>
    <w:basedOn w:val="DefaultParagraphFont"/>
    <w:link w:val="Salutation"/>
    <w:uiPriority w:val="99"/>
    <w:rsid w:val="00F51DEF"/>
    <w:rPr>
      <w:rFonts w:ascii="Source Sans Pro" w:hAnsi="Source Sans Pro"/>
      <w:sz w:val="24"/>
      <w:szCs w:val="22"/>
    </w:rPr>
  </w:style>
  <w:style w:type="paragraph" w:styleId="Signature">
    <w:name w:val="Signature"/>
    <w:basedOn w:val="Normal"/>
    <w:link w:val="SignatureChar"/>
    <w:uiPriority w:val="99"/>
    <w:unhideWhenUsed/>
    <w:rsid w:val="00F51DEF"/>
    <w:pPr>
      <w:ind w:left="4320"/>
    </w:pPr>
  </w:style>
  <w:style w:type="character" w:customStyle="1" w:styleId="SignatureChar">
    <w:name w:val="Signature Char"/>
    <w:basedOn w:val="DefaultParagraphFont"/>
    <w:link w:val="Signature"/>
    <w:uiPriority w:val="99"/>
    <w:rsid w:val="00F51DEF"/>
    <w:rPr>
      <w:rFonts w:ascii="Source Sans Pro" w:hAnsi="Source Sans Pro"/>
      <w:sz w:val="24"/>
      <w:szCs w:val="22"/>
    </w:rPr>
  </w:style>
  <w:style w:type="paragraph" w:styleId="TableofAuthorities">
    <w:name w:val="table of authorities"/>
    <w:basedOn w:val="Normal"/>
    <w:next w:val="Normal"/>
    <w:uiPriority w:val="99"/>
    <w:unhideWhenUsed/>
    <w:rsid w:val="00F51DEF"/>
    <w:pPr>
      <w:ind w:left="220" w:hanging="220"/>
    </w:pPr>
  </w:style>
  <w:style w:type="paragraph" w:styleId="TableofFigures">
    <w:name w:val="table of figures"/>
    <w:basedOn w:val="Normal"/>
    <w:next w:val="Normal"/>
    <w:uiPriority w:val="99"/>
    <w:unhideWhenUsed/>
    <w:rsid w:val="00F51DEF"/>
  </w:style>
  <w:style w:type="paragraph" w:styleId="TOAHeading">
    <w:name w:val="toa heading"/>
    <w:basedOn w:val="Normal"/>
    <w:next w:val="Normal"/>
    <w:uiPriority w:val="99"/>
    <w:unhideWhenUsed/>
    <w:rsid w:val="00F51DEF"/>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F51DEF"/>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F51DE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F51DEF"/>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F51DE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F51DEF"/>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F51DEF"/>
    <w:pPr>
      <w:tabs>
        <w:tab w:val="right" w:pos="8460"/>
      </w:tabs>
      <w:spacing w:line="600" w:lineRule="auto"/>
    </w:pPr>
  </w:style>
  <w:style w:type="paragraph" w:customStyle="1" w:styleId="ListForm">
    <w:name w:val="List Form"/>
    <w:basedOn w:val="List"/>
    <w:rsid w:val="00F51DEF"/>
    <w:pPr>
      <w:spacing w:before="240"/>
    </w:pPr>
  </w:style>
  <w:style w:type="paragraph" w:customStyle="1" w:styleId="TableHead1">
    <w:name w:val="Table Head 1"/>
    <w:basedOn w:val="Normal"/>
    <w:qFormat/>
    <w:rsid w:val="00F51DEF"/>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F51DEF"/>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F51DEF"/>
    <w:pPr>
      <w:spacing w:before="0" w:after="0"/>
      <w:ind w:left="432"/>
    </w:pPr>
  </w:style>
  <w:style w:type="paragraph" w:customStyle="1" w:styleId="AssumptionsBody">
    <w:name w:val="Assumptions Body"/>
    <w:basedOn w:val="Normal"/>
    <w:rsid w:val="00F51DEF"/>
    <w:pPr>
      <w:ind w:left="288"/>
    </w:pPr>
    <w:rPr>
      <w:sz w:val="18"/>
    </w:rPr>
  </w:style>
  <w:style w:type="paragraph" w:customStyle="1" w:styleId="hypotheticalillustration">
    <w:name w:val="hypothetical illustration"/>
    <w:basedOn w:val="Normal"/>
    <w:rsid w:val="00F51DEF"/>
    <w:pPr>
      <w:jc w:val="center"/>
    </w:pPr>
    <w:rPr>
      <w:sz w:val="20"/>
    </w:rPr>
  </w:style>
  <w:style w:type="table" w:customStyle="1" w:styleId="echoWealthMonopoly">
    <w:name w:val="echoWealth Monopoly"/>
    <w:basedOn w:val="TableNormal"/>
    <w:uiPriority w:val="99"/>
    <w:qFormat/>
    <w:rsid w:val="00F51DEF"/>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F51DEF"/>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F51DEF"/>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F51DEF"/>
    <w:rPr>
      <w:rFonts w:ascii="Roboto Slab Regular" w:hAnsi="Roboto Slab Regular"/>
      <w:color w:val="344373"/>
      <w:sz w:val="36"/>
      <w:szCs w:val="36"/>
    </w:rPr>
  </w:style>
  <w:style w:type="paragraph" w:customStyle="1" w:styleId="ListAlpha">
    <w:name w:val="List Alpha"/>
    <w:basedOn w:val="ListBullet"/>
    <w:rsid w:val="00F51DEF"/>
    <w:pPr>
      <w:numPr>
        <w:numId w:val="10"/>
      </w:numPr>
    </w:pPr>
  </w:style>
  <w:style w:type="table" w:customStyle="1" w:styleId="NewStyle2014">
    <w:name w:val="New Style 2014"/>
    <w:basedOn w:val="TableNormal"/>
    <w:uiPriority w:val="99"/>
    <w:qFormat/>
    <w:rsid w:val="00F51DEF"/>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F51DEF"/>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F51DEF"/>
    <w:rPr>
      <w:rFonts w:ascii="Source Sans Pro Semibold" w:hAnsi="Source Sans Pro Semibold" w:cstheme="minorHAnsi"/>
      <w:color w:val="FFFFFF" w:themeColor="background1"/>
    </w:rPr>
  </w:style>
  <w:style w:type="paragraph" w:customStyle="1" w:styleId="Body">
    <w:name w:val="Body"/>
    <w:basedOn w:val="Normal"/>
    <w:link w:val="BodyChar"/>
    <w:qFormat/>
    <w:rsid w:val="00F51DEF"/>
    <w:rPr>
      <w:szCs w:val="24"/>
    </w:rPr>
  </w:style>
  <w:style w:type="character" w:customStyle="1" w:styleId="BodyChar">
    <w:name w:val="Body Char"/>
    <w:basedOn w:val="DefaultParagraphFont"/>
    <w:link w:val="Body"/>
    <w:rsid w:val="00F51DEF"/>
    <w:rPr>
      <w:rFonts w:ascii="Source Sans Pro" w:hAnsi="Source Sans Pro"/>
      <w:sz w:val="24"/>
      <w:szCs w:val="24"/>
    </w:rPr>
  </w:style>
  <w:style w:type="paragraph" w:customStyle="1" w:styleId="TableTitle1">
    <w:name w:val="Table Title 1"/>
    <w:basedOn w:val="Heading1"/>
    <w:link w:val="TableTitle1Char"/>
    <w:qFormat/>
    <w:rsid w:val="00F51DEF"/>
    <w:pPr>
      <w:jc w:val="center"/>
    </w:pPr>
    <w:rPr>
      <w:color w:val="344373"/>
    </w:rPr>
  </w:style>
  <w:style w:type="character" w:customStyle="1" w:styleId="TableTitle1Char">
    <w:name w:val="Table Title 1 Char"/>
    <w:basedOn w:val="Heading1Char"/>
    <w:link w:val="TableTitle1"/>
    <w:rsid w:val="00F51DEF"/>
    <w:rPr>
      <w:rFonts w:ascii="Roboto Slab Regular" w:eastAsia="Times New Roman" w:hAnsi="Roboto Slab Regular"/>
      <w:bCs/>
      <w:color w:val="344373"/>
      <w:sz w:val="28"/>
      <w:szCs w:val="28"/>
    </w:rPr>
  </w:style>
  <w:style w:type="paragraph" w:customStyle="1" w:styleId="Note">
    <w:name w:val="Note"/>
    <w:basedOn w:val="CommentText"/>
    <w:link w:val="NoteChar"/>
    <w:qFormat/>
    <w:rsid w:val="00F51DEF"/>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F51DEF"/>
    <w:rPr>
      <w:rFonts w:ascii="Source Sans Pro Semibold" w:hAnsi="Source Sans Pro Semibold"/>
      <w:color w:val="344373"/>
      <w:sz w:val="24"/>
      <w:szCs w:val="24"/>
    </w:rPr>
  </w:style>
  <w:style w:type="paragraph" w:customStyle="1" w:styleId="Footnote">
    <w:name w:val="Footnote"/>
    <w:basedOn w:val="FootnoteText"/>
    <w:link w:val="FootnoteChar"/>
    <w:qFormat/>
    <w:rsid w:val="00F51DEF"/>
    <w:pPr>
      <w:spacing w:line="240" w:lineRule="auto"/>
      <w:ind w:left="101" w:hanging="101"/>
      <w:jc w:val="both"/>
    </w:pPr>
    <w:rPr>
      <w:szCs w:val="18"/>
    </w:rPr>
  </w:style>
  <w:style w:type="character" w:customStyle="1" w:styleId="FootnoteChar">
    <w:name w:val="Footnote Char"/>
    <w:basedOn w:val="FootnoteTextChar"/>
    <w:link w:val="Footnote"/>
    <w:rsid w:val="00F51DEF"/>
    <w:rPr>
      <w:rFonts w:ascii="Source Sans Pro" w:hAnsi="Source Sans Pro"/>
      <w:sz w:val="18"/>
      <w:szCs w:val="18"/>
    </w:rPr>
  </w:style>
  <w:style w:type="paragraph" w:customStyle="1" w:styleId="TableBody">
    <w:name w:val="Table Body"/>
    <w:basedOn w:val="Normal"/>
    <w:qFormat/>
    <w:rsid w:val="00F51DEF"/>
    <w:pPr>
      <w:spacing w:before="0" w:after="0"/>
    </w:pPr>
    <w:rPr>
      <w:sz w:val="20"/>
      <w:szCs w:val="20"/>
    </w:rPr>
  </w:style>
  <w:style w:type="paragraph" w:customStyle="1" w:styleId="TableBodyStrong">
    <w:name w:val="Table Body Strong"/>
    <w:basedOn w:val="TableBody"/>
    <w:qFormat/>
    <w:rsid w:val="00F51DEF"/>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character" w:customStyle="1" w:styleId="bold">
    <w:name w:val="bold"/>
    <w:uiPriority w:val="99"/>
    <w:rsid w:val="00DD2CCA"/>
    <w:rPr>
      <w:b/>
    </w:rPr>
  </w:style>
  <w:style w:type="character" w:customStyle="1" w:styleId="italic">
    <w:name w:val="italic"/>
    <w:rsid w:val="00DD2CCA"/>
    <w:rPr>
      <w:i/>
    </w:rPr>
  </w:style>
  <w:style w:type="character" w:customStyle="1" w:styleId="italicext">
    <w:name w:val="italic_ext"/>
    <w:rsid w:val="00DD2CCA"/>
    <w:rPr>
      <w:i/>
    </w:rPr>
  </w:style>
  <w:style w:type="paragraph" w:customStyle="1" w:styleId="Index">
    <w:name w:val="Index"/>
    <w:rsid w:val="006F68C5"/>
    <w:pPr>
      <w:tabs>
        <w:tab w:val="left" w:pos="288"/>
        <w:tab w:val="left" w:pos="576"/>
        <w:tab w:val="left" w:pos="864"/>
        <w:tab w:val="right" w:leader="dot" w:pos="3960"/>
      </w:tabs>
      <w:ind w:left="288" w:hanging="288"/>
    </w:pPr>
    <w:rPr>
      <w:rFonts w:ascii="Palatino LT Std" w:eastAsia="Times New Roman" w:hAnsi="Palatino LT Std"/>
    </w:rPr>
  </w:style>
  <w:style w:type="paragraph" w:customStyle="1" w:styleId="TOC">
    <w:name w:val="TOC"/>
    <w:rsid w:val="006F68C5"/>
    <w:pPr>
      <w:tabs>
        <w:tab w:val="left" w:pos="1170"/>
        <w:tab w:val="right" w:leader="dot" w:pos="8640"/>
      </w:tabs>
      <w:ind w:left="1170" w:hanging="1170"/>
    </w:pPr>
    <w:rPr>
      <w:rFonts w:ascii="Palatino LT Std" w:eastAsia="Times New Roman" w:hAnsi="Palatino LT Std"/>
      <w:sz w:val="22"/>
    </w:rPr>
  </w:style>
  <w:style w:type="paragraph" w:customStyle="1" w:styleId="Exhibit">
    <w:name w:val="Exhibit"/>
    <w:rsid w:val="006F68C5"/>
    <w:pPr>
      <w:overflowPunct w:val="0"/>
      <w:autoSpaceDE w:val="0"/>
      <w:autoSpaceDN w:val="0"/>
      <w:adjustRightInd w:val="0"/>
      <w:textAlignment w:val="baseline"/>
    </w:pPr>
    <w:rPr>
      <w:rFonts w:ascii="Palatino LT Std" w:eastAsia="Times New Roman" w:hAnsi="Palatino LT Std"/>
    </w:rPr>
  </w:style>
  <w:style w:type="paragraph" w:customStyle="1" w:styleId="Figure">
    <w:name w:val="Figure"/>
    <w:rsid w:val="006F68C5"/>
    <w:pPr>
      <w:tabs>
        <w:tab w:val="right" w:pos="1350"/>
        <w:tab w:val="right" w:pos="2250"/>
        <w:tab w:val="right" w:pos="3150"/>
        <w:tab w:val="right" w:pos="4050"/>
        <w:tab w:val="right" w:pos="4950"/>
        <w:tab w:val="right" w:pos="5850"/>
        <w:tab w:val="right" w:pos="6570"/>
        <w:tab w:val="right" w:pos="7470"/>
        <w:tab w:val="right" w:pos="8370"/>
        <w:tab w:val="right" w:pos="9180"/>
      </w:tabs>
      <w:overflowPunct w:val="0"/>
      <w:autoSpaceDE w:val="0"/>
      <w:autoSpaceDN w:val="0"/>
      <w:adjustRightInd w:val="0"/>
      <w:textAlignment w:val="baseline"/>
    </w:pPr>
    <w:rPr>
      <w:rFonts w:ascii="Palatino LT Std" w:eastAsia="Times New Roman" w:hAnsi="Palatino LT Std"/>
    </w:rPr>
  </w:style>
  <w:style w:type="paragraph" w:customStyle="1" w:styleId="Test">
    <w:name w:val="Test"/>
    <w:basedOn w:val="Normal"/>
    <w:link w:val="TestChar"/>
    <w:rsid w:val="00684986"/>
    <w:pPr>
      <w:spacing w:before="0" w:after="240" w:line="240" w:lineRule="auto"/>
      <w:ind w:left="360" w:firstLine="288"/>
      <w:jc w:val="both"/>
    </w:pPr>
    <w:rPr>
      <w:rFonts w:ascii="Palatino LT Std" w:eastAsia="Times New Roman" w:hAnsi="Palatino LT Std"/>
      <w:sz w:val="22"/>
      <w:szCs w:val="20"/>
    </w:rPr>
  </w:style>
  <w:style w:type="character" w:customStyle="1" w:styleId="TestChar">
    <w:name w:val="Test Char"/>
    <w:link w:val="Test"/>
    <w:rsid w:val="006F68C5"/>
    <w:rPr>
      <w:rFonts w:ascii="Palatino LT Std" w:eastAsia="Times New Roman" w:hAnsi="Palatino LT Std"/>
      <w:sz w:val="22"/>
    </w:rPr>
  </w:style>
  <w:style w:type="paragraph" w:customStyle="1" w:styleId="NUHeading2">
    <w:name w:val="NUHeading2"/>
    <w:basedOn w:val="Heading2"/>
    <w:link w:val="NUHeading2Char"/>
    <w:qFormat/>
    <w:rsid w:val="00F51DEF"/>
    <w:rPr>
      <w:sz w:val="26"/>
    </w:rPr>
  </w:style>
  <w:style w:type="paragraph" w:customStyle="1" w:styleId="NUHeading3">
    <w:name w:val="NUHeading3"/>
    <w:basedOn w:val="NUHeading2"/>
    <w:link w:val="NUHeading3Char"/>
    <w:qFormat/>
    <w:rsid w:val="00F51DEF"/>
    <w:rPr>
      <w:sz w:val="24"/>
    </w:rPr>
  </w:style>
  <w:style w:type="character" w:customStyle="1" w:styleId="NUHeading2Char">
    <w:name w:val="NUHeading2 Char"/>
    <w:basedOn w:val="Heading2Char"/>
    <w:link w:val="NUHeading2"/>
    <w:rsid w:val="00F51DEF"/>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F51DEF"/>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F51DEF"/>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F51DEF"/>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F51DEF"/>
    <w:pPr>
      <w:outlineLvl w:val="1"/>
    </w:pPr>
  </w:style>
  <w:style w:type="paragraph" w:styleId="Heading3">
    <w:name w:val="heading 3"/>
    <w:basedOn w:val="TableTitle1"/>
    <w:next w:val="Normal"/>
    <w:link w:val="Heading3Char"/>
    <w:unhideWhenUsed/>
    <w:rsid w:val="00F51DEF"/>
    <w:pPr>
      <w:outlineLvl w:val="2"/>
    </w:pPr>
  </w:style>
  <w:style w:type="paragraph" w:styleId="Heading4">
    <w:name w:val="heading 4"/>
    <w:basedOn w:val="Heading3"/>
    <w:next w:val="Normal"/>
    <w:link w:val="Heading4Char"/>
    <w:unhideWhenUsed/>
    <w:locked/>
    <w:rsid w:val="00F51DEF"/>
    <w:pPr>
      <w:outlineLvl w:val="3"/>
    </w:pPr>
  </w:style>
  <w:style w:type="paragraph" w:styleId="Heading5">
    <w:name w:val="heading 5"/>
    <w:basedOn w:val="Heading4"/>
    <w:next w:val="Normal"/>
    <w:link w:val="Heading5Char"/>
    <w:unhideWhenUsed/>
    <w:locked/>
    <w:rsid w:val="00F51DEF"/>
    <w:pPr>
      <w:outlineLvl w:val="4"/>
    </w:pPr>
  </w:style>
  <w:style w:type="paragraph" w:styleId="Heading6">
    <w:name w:val="heading 6"/>
    <w:basedOn w:val="Heading5"/>
    <w:next w:val="Normal"/>
    <w:link w:val="Heading6Char"/>
    <w:unhideWhenUsed/>
    <w:locked/>
    <w:rsid w:val="00F51DEF"/>
    <w:pPr>
      <w:outlineLvl w:val="5"/>
    </w:pPr>
  </w:style>
  <w:style w:type="paragraph" w:styleId="Heading7">
    <w:name w:val="heading 7"/>
    <w:basedOn w:val="Heading6"/>
    <w:next w:val="Normal"/>
    <w:link w:val="Heading7Char"/>
    <w:unhideWhenUsed/>
    <w:locked/>
    <w:rsid w:val="00F51DEF"/>
    <w:pPr>
      <w:outlineLvl w:val="6"/>
    </w:pPr>
  </w:style>
  <w:style w:type="paragraph" w:styleId="Heading8">
    <w:name w:val="heading 8"/>
    <w:basedOn w:val="Heading7"/>
    <w:next w:val="Normal"/>
    <w:link w:val="Heading8Char"/>
    <w:unhideWhenUsed/>
    <w:locked/>
    <w:rsid w:val="00F51DEF"/>
    <w:pPr>
      <w:outlineLvl w:val="7"/>
    </w:pPr>
  </w:style>
  <w:style w:type="paragraph" w:styleId="Heading9">
    <w:name w:val="heading 9"/>
    <w:basedOn w:val="Heading8"/>
    <w:next w:val="Normal"/>
    <w:link w:val="Heading9Char"/>
    <w:unhideWhenUsed/>
    <w:locked/>
    <w:rsid w:val="00F51DE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F51DEF"/>
  </w:style>
  <w:style w:type="character" w:customStyle="1" w:styleId="E-mailSignatureChar">
    <w:name w:val="E-mail Signature Char"/>
    <w:basedOn w:val="DefaultParagraphFont"/>
    <w:link w:val="E-mailSignature"/>
    <w:uiPriority w:val="99"/>
    <w:rsid w:val="00F51DEF"/>
    <w:rPr>
      <w:rFonts w:ascii="Source Sans Pro" w:hAnsi="Source Sans Pro"/>
      <w:sz w:val="24"/>
      <w:szCs w:val="22"/>
    </w:rPr>
  </w:style>
  <w:style w:type="character" w:styleId="Hyperlink">
    <w:name w:val="Hyperlink"/>
    <w:basedOn w:val="DefaultParagraphFont"/>
    <w:uiPriority w:val="99"/>
    <w:unhideWhenUsed/>
    <w:rsid w:val="00F51DEF"/>
    <w:rPr>
      <w:color w:val="0000FF"/>
      <w:u w:val="single"/>
    </w:rPr>
  </w:style>
  <w:style w:type="paragraph" w:styleId="ListBullet5">
    <w:name w:val="List Bullet 5"/>
    <w:basedOn w:val="Normal"/>
    <w:uiPriority w:val="99"/>
    <w:unhideWhenUsed/>
    <w:rsid w:val="00F51DEF"/>
    <w:pPr>
      <w:tabs>
        <w:tab w:val="num" w:pos="1800"/>
      </w:tabs>
      <w:ind w:left="1800" w:hanging="360"/>
      <w:contextualSpacing/>
    </w:pPr>
  </w:style>
  <w:style w:type="paragraph" w:styleId="NoSpacing">
    <w:name w:val="No Spacing"/>
    <w:uiPriority w:val="1"/>
    <w:rsid w:val="00F51DEF"/>
    <w:rPr>
      <w:rFonts w:ascii="Source Sans Pro" w:hAnsi="Source Sans Pro"/>
      <w:szCs w:val="22"/>
    </w:rPr>
  </w:style>
  <w:style w:type="character" w:customStyle="1" w:styleId="Heading1Char">
    <w:name w:val="Heading 1 Char"/>
    <w:basedOn w:val="DefaultParagraphFont"/>
    <w:link w:val="Heading1"/>
    <w:uiPriority w:val="9"/>
    <w:rsid w:val="00F51DEF"/>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F51DEF"/>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F51DEF"/>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F51DEF"/>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F51DEF"/>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F51DEF"/>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F51DEF"/>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F51DEF"/>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F51DEF"/>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F51DEF"/>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F51DEF"/>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F51DEF"/>
    <w:rPr>
      <w:i/>
      <w:iCs/>
      <w:color w:val="7F7F7F" w:themeColor="text1" w:themeTint="80"/>
    </w:rPr>
  </w:style>
  <w:style w:type="character" w:styleId="Emphasis">
    <w:name w:val="Emphasis"/>
    <w:basedOn w:val="DefaultParagraphFont"/>
    <w:uiPriority w:val="20"/>
    <w:rsid w:val="00F51DEF"/>
    <w:rPr>
      <w:i/>
      <w:iCs/>
    </w:rPr>
  </w:style>
  <w:style w:type="table" w:styleId="TableGrid">
    <w:name w:val="Table Grid"/>
    <w:basedOn w:val="TableNormal"/>
    <w:uiPriority w:val="59"/>
    <w:rsid w:val="00F51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51DEF"/>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F51DEF"/>
    <w:rPr>
      <w:i/>
      <w:iCs/>
      <w:color w:val="000000" w:themeColor="text1"/>
    </w:rPr>
  </w:style>
  <w:style w:type="character" w:customStyle="1" w:styleId="QuoteChar">
    <w:name w:val="Quote Char"/>
    <w:basedOn w:val="DefaultParagraphFont"/>
    <w:link w:val="Quote"/>
    <w:uiPriority w:val="29"/>
    <w:rsid w:val="00F51DEF"/>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F51DEF"/>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F51DEF"/>
    <w:rPr>
      <w:rFonts w:ascii="Source Sans Pro" w:hAnsi="Source Sans Pro"/>
      <w:b/>
      <w:bCs/>
      <w:i/>
      <w:iCs/>
      <w:color w:val="9BBB59" w:themeColor="accent4"/>
      <w:sz w:val="24"/>
      <w:szCs w:val="22"/>
    </w:rPr>
  </w:style>
  <w:style w:type="paragraph" w:customStyle="1" w:styleId="Title1">
    <w:name w:val="Title 1"/>
    <w:basedOn w:val="Normal"/>
    <w:link w:val="Title1Char"/>
    <w:qFormat/>
    <w:rsid w:val="00F51DEF"/>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F51DEF"/>
    <w:rPr>
      <w:b/>
      <w:bCs/>
      <w:smallCaps/>
      <w:color w:val="C0504D" w:themeColor="accent2"/>
      <w:spacing w:val="5"/>
      <w:u w:val="single"/>
    </w:rPr>
  </w:style>
  <w:style w:type="character" w:styleId="BookTitle">
    <w:name w:val="Book Title"/>
    <w:basedOn w:val="DefaultParagraphFont"/>
    <w:uiPriority w:val="33"/>
    <w:rsid w:val="00F51DEF"/>
    <w:rPr>
      <w:b/>
      <w:bCs/>
      <w:smallCaps/>
      <w:spacing w:val="5"/>
    </w:rPr>
  </w:style>
  <w:style w:type="paragraph" w:styleId="ListParagraph">
    <w:name w:val="List Paragraph"/>
    <w:basedOn w:val="Normal"/>
    <w:uiPriority w:val="34"/>
    <w:rsid w:val="00F51DEF"/>
    <w:pPr>
      <w:ind w:left="720"/>
      <w:contextualSpacing/>
    </w:pPr>
  </w:style>
  <w:style w:type="paragraph" w:styleId="Caption">
    <w:name w:val="caption"/>
    <w:basedOn w:val="Normal"/>
    <w:next w:val="Normal"/>
    <w:uiPriority w:val="35"/>
    <w:unhideWhenUsed/>
    <w:rsid w:val="00F51DEF"/>
    <w:rPr>
      <w:b/>
      <w:bCs/>
      <w:color w:val="C5DBF2" w:themeColor="accent5" w:themeShade="E6"/>
      <w:sz w:val="18"/>
      <w:szCs w:val="18"/>
    </w:rPr>
  </w:style>
  <w:style w:type="paragraph" w:styleId="Bibliography">
    <w:name w:val="Bibliography"/>
    <w:basedOn w:val="Normal"/>
    <w:next w:val="Normal"/>
    <w:uiPriority w:val="37"/>
    <w:unhideWhenUsed/>
    <w:rsid w:val="00F51DEF"/>
  </w:style>
  <w:style w:type="paragraph" w:styleId="TOC1">
    <w:name w:val="toc 1"/>
    <w:basedOn w:val="Normal"/>
    <w:next w:val="Normal"/>
    <w:autoRedefine/>
    <w:uiPriority w:val="39"/>
    <w:unhideWhenUsed/>
    <w:rsid w:val="00F51DEF"/>
    <w:pPr>
      <w:spacing w:after="100"/>
    </w:pPr>
  </w:style>
  <w:style w:type="paragraph" w:styleId="TOC2">
    <w:name w:val="toc 2"/>
    <w:basedOn w:val="Normal"/>
    <w:next w:val="Normal"/>
    <w:autoRedefine/>
    <w:uiPriority w:val="39"/>
    <w:unhideWhenUsed/>
    <w:rsid w:val="00F51DEF"/>
    <w:pPr>
      <w:spacing w:after="100"/>
      <w:ind w:left="220"/>
    </w:pPr>
  </w:style>
  <w:style w:type="paragraph" w:styleId="TOC3">
    <w:name w:val="toc 3"/>
    <w:basedOn w:val="Normal"/>
    <w:next w:val="Normal"/>
    <w:autoRedefine/>
    <w:uiPriority w:val="39"/>
    <w:unhideWhenUsed/>
    <w:rsid w:val="00F51DEF"/>
    <w:pPr>
      <w:spacing w:after="100"/>
      <w:ind w:left="440"/>
    </w:pPr>
  </w:style>
  <w:style w:type="paragraph" w:styleId="TOC4">
    <w:name w:val="toc 4"/>
    <w:basedOn w:val="Normal"/>
    <w:next w:val="Normal"/>
    <w:autoRedefine/>
    <w:uiPriority w:val="39"/>
    <w:unhideWhenUsed/>
    <w:rsid w:val="00F51DEF"/>
    <w:pPr>
      <w:spacing w:after="100"/>
      <w:ind w:left="660"/>
    </w:pPr>
  </w:style>
  <w:style w:type="paragraph" w:styleId="TOC5">
    <w:name w:val="toc 5"/>
    <w:basedOn w:val="Normal"/>
    <w:next w:val="Normal"/>
    <w:autoRedefine/>
    <w:uiPriority w:val="39"/>
    <w:unhideWhenUsed/>
    <w:rsid w:val="00F51DEF"/>
    <w:pPr>
      <w:spacing w:after="100"/>
      <w:ind w:left="880"/>
    </w:pPr>
  </w:style>
  <w:style w:type="paragraph" w:styleId="TOC6">
    <w:name w:val="toc 6"/>
    <w:basedOn w:val="Normal"/>
    <w:next w:val="Normal"/>
    <w:autoRedefine/>
    <w:uiPriority w:val="39"/>
    <w:unhideWhenUsed/>
    <w:rsid w:val="00F51DEF"/>
    <w:pPr>
      <w:spacing w:after="100"/>
      <w:ind w:left="1100"/>
    </w:pPr>
  </w:style>
  <w:style w:type="paragraph" w:styleId="TOC7">
    <w:name w:val="toc 7"/>
    <w:basedOn w:val="Normal"/>
    <w:next w:val="Normal"/>
    <w:autoRedefine/>
    <w:uiPriority w:val="39"/>
    <w:unhideWhenUsed/>
    <w:rsid w:val="00F51DEF"/>
    <w:pPr>
      <w:spacing w:after="100"/>
      <w:ind w:left="1320"/>
    </w:pPr>
  </w:style>
  <w:style w:type="paragraph" w:styleId="TOC8">
    <w:name w:val="toc 8"/>
    <w:basedOn w:val="Normal"/>
    <w:next w:val="Normal"/>
    <w:autoRedefine/>
    <w:uiPriority w:val="39"/>
    <w:unhideWhenUsed/>
    <w:rsid w:val="00F51DEF"/>
    <w:pPr>
      <w:spacing w:after="100"/>
      <w:ind w:left="1540"/>
    </w:pPr>
  </w:style>
  <w:style w:type="paragraph" w:styleId="TOC9">
    <w:name w:val="toc 9"/>
    <w:basedOn w:val="Normal"/>
    <w:next w:val="Normal"/>
    <w:autoRedefine/>
    <w:uiPriority w:val="39"/>
    <w:unhideWhenUsed/>
    <w:rsid w:val="00F51DEF"/>
    <w:pPr>
      <w:spacing w:after="100"/>
      <w:ind w:left="1760"/>
    </w:pPr>
  </w:style>
  <w:style w:type="paragraph" w:styleId="TOCHeading">
    <w:name w:val="TOC Heading"/>
    <w:basedOn w:val="Heading1"/>
    <w:next w:val="Normal"/>
    <w:uiPriority w:val="39"/>
    <w:unhideWhenUsed/>
    <w:rsid w:val="00F51DEF"/>
    <w:pPr>
      <w:outlineLvl w:val="9"/>
    </w:pPr>
  </w:style>
  <w:style w:type="paragraph" w:styleId="BalloonText">
    <w:name w:val="Balloon Text"/>
    <w:basedOn w:val="Normal"/>
    <w:link w:val="BalloonTextChar"/>
    <w:uiPriority w:val="99"/>
    <w:unhideWhenUsed/>
    <w:rsid w:val="00F51DEF"/>
    <w:rPr>
      <w:rFonts w:cs="Tahoma"/>
      <w:sz w:val="16"/>
      <w:szCs w:val="16"/>
    </w:rPr>
  </w:style>
  <w:style w:type="character" w:customStyle="1" w:styleId="BalloonTextChar">
    <w:name w:val="Balloon Text Char"/>
    <w:basedOn w:val="DefaultParagraphFont"/>
    <w:link w:val="BalloonText"/>
    <w:uiPriority w:val="99"/>
    <w:rsid w:val="00F51DEF"/>
    <w:rPr>
      <w:rFonts w:ascii="Source Sans Pro" w:hAnsi="Source Sans Pro" w:cs="Tahoma"/>
      <w:sz w:val="16"/>
      <w:szCs w:val="16"/>
    </w:rPr>
  </w:style>
  <w:style w:type="paragraph" w:styleId="BlockText">
    <w:name w:val="Block Text"/>
    <w:basedOn w:val="Normal"/>
    <w:uiPriority w:val="99"/>
    <w:unhideWhenUsed/>
    <w:rsid w:val="00F51DEF"/>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F51DEF"/>
    <w:pPr>
      <w:spacing w:after="120"/>
    </w:pPr>
  </w:style>
  <w:style w:type="character" w:customStyle="1" w:styleId="BodyTextChar">
    <w:name w:val="Body Text Char"/>
    <w:basedOn w:val="DefaultParagraphFont"/>
    <w:link w:val="BodyText"/>
    <w:uiPriority w:val="99"/>
    <w:rsid w:val="00F51DEF"/>
    <w:rPr>
      <w:rFonts w:ascii="Source Sans Pro" w:hAnsi="Source Sans Pro"/>
      <w:sz w:val="24"/>
      <w:szCs w:val="22"/>
    </w:rPr>
  </w:style>
  <w:style w:type="paragraph" w:styleId="BodyText2">
    <w:name w:val="Body Text 2"/>
    <w:basedOn w:val="Normal"/>
    <w:link w:val="BodyText2Char"/>
    <w:uiPriority w:val="99"/>
    <w:unhideWhenUsed/>
    <w:rsid w:val="00F51DEF"/>
    <w:pPr>
      <w:spacing w:after="120" w:line="480" w:lineRule="auto"/>
    </w:pPr>
  </w:style>
  <w:style w:type="character" w:customStyle="1" w:styleId="BodyText2Char">
    <w:name w:val="Body Text 2 Char"/>
    <w:basedOn w:val="DefaultParagraphFont"/>
    <w:link w:val="BodyText2"/>
    <w:uiPriority w:val="99"/>
    <w:rsid w:val="00F51DEF"/>
    <w:rPr>
      <w:rFonts w:ascii="Source Sans Pro" w:hAnsi="Source Sans Pro"/>
      <w:sz w:val="24"/>
      <w:szCs w:val="22"/>
    </w:rPr>
  </w:style>
  <w:style w:type="paragraph" w:styleId="BodyText3">
    <w:name w:val="Body Text 3"/>
    <w:basedOn w:val="Normal"/>
    <w:link w:val="BodyText3Char"/>
    <w:uiPriority w:val="99"/>
    <w:unhideWhenUsed/>
    <w:rsid w:val="00F51DEF"/>
    <w:pPr>
      <w:spacing w:after="120"/>
    </w:pPr>
    <w:rPr>
      <w:sz w:val="16"/>
      <w:szCs w:val="16"/>
    </w:rPr>
  </w:style>
  <w:style w:type="character" w:customStyle="1" w:styleId="BodyText3Char">
    <w:name w:val="Body Text 3 Char"/>
    <w:basedOn w:val="DefaultParagraphFont"/>
    <w:link w:val="BodyText3"/>
    <w:uiPriority w:val="99"/>
    <w:rsid w:val="00F51DEF"/>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F51DEF"/>
    <w:pPr>
      <w:spacing w:after="200"/>
      <w:ind w:firstLine="360"/>
    </w:pPr>
  </w:style>
  <w:style w:type="character" w:customStyle="1" w:styleId="BodyTextFirstIndentChar">
    <w:name w:val="Body Text First Indent Char"/>
    <w:basedOn w:val="BodyTextChar"/>
    <w:link w:val="BodyTextFirstIndent"/>
    <w:uiPriority w:val="99"/>
    <w:rsid w:val="00F51DEF"/>
    <w:rPr>
      <w:rFonts w:ascii="Source Sans Pro" w:hAnsi="Source Sans Pro"/>
      <w:sz w:val="24"/>
      <w:szCs w:val="22"/>
    </w:rPr>
  </w:style>
  <w:style w:type="paragraph" w:styleId="BodyTextIndent">
    <w:name w:val="Body Text Indent"/>
    <w:basedOn w:val="Normal"/>
    <w:link w:val="BodyTextIndentChar"/>
    <w:uiPriority w:val="99"/>
    <w:unhideWhenUsed/>
    <w:rsid w:val="00F51DEF"/>
    <w:pPr>
      <w:spacing w:after="120"/>
      <w:ind w:left="360"/>
    </w:pPr>
  </w:style>
  <w:style w:type="character" w:customStyle="1" w:styleId="BodyTextIndentChar">
    <w:name w:val="Body Text Indent Char"/>
    <w:basedOn w:val="DefaultParagraphFont"/>
    <w:link w:val="BodyTextIndent"/>
    <w:uiPriority w:val="99"/>
    <w:rsid w:val="00F51DEF"/>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F51DEF"/>
    <w:pPr>
      <w:spacing w:after="200"/>
      <w:ind w:firstLine="360"/>
    </w:pPr>
  </w:style>
  <w:style w:type="character" w:customStyle="1" w:styleId="BodyTextFirstIndent2Char">
    <w:name w:val="Body Text First Indent 2 Char"/>
    <w:basedOn w:val="BodyTextIndentChar"/>
    <w:link w:val="BodyTextFirstIndent2"/>
    <w:uiPriority w:val="99"/>
    <w:rsid w:val="00F51DEF"/>
    <w:rPr>
      <w:rFonts w:ascii="Source Sans Pro" w:hAnsi="Source Sans Pro"/>
      <w:sz w:val="24"/>
      <w:szCs w:val="22"/>
    </w:rPr>
  </w:style>
  <w:style w:type="paragraph" w:styleId="BodyTextIndent2">
    <w:name w:val="Body Text Indent 2"/>
    <w:basedOn w:val="Normal"/>
    <w:link w:val="BodyTextIndent2Char"/>
    <w:uiPriority w:val="99"/>
    <w:unhideWhenUsed/>
    <w:rsid w:val="00F51DEF"/>
    <w:pPr>
      <w:spacing w:after="120" w:line="480" w:lineRule="auto"/>
      <w:ind w:left="360"/>
    </w:pPr>
  </w:style>
  <w:style w:type="character" w:customStyle="1" w:styleId="BodyTextIndent2Char">
    <w:name w:val="Body Text Indent 2 Char"/>
    <w:basedOn w:val="DefaultParagraphFont"/>
    <w:link w:val="BodyTextIndent2"/>
    <w:uiPriority w:val="99"/>
    <w:rsid w:val="00F51DEF"/>
    <w:rPr>
      <w:rFonts w:ascii="Source Sans Pro" w:hAnsi="Source Sans Pro"/>
      <w:sz w:val="24"/>
      <w:szCs w:val="22"/>
    </w:rPr>
  </w:style>
  <w:style w:type="paragraph" w:styleId="BodyTextIndent3">
    <w:name w:val="Body Text Indent 3"/>
    <w:basedOn w:val="Normal"/>
    <w:link w:val="BodyTextIndent3Char"/>
    <w:uiPriority w:val="99"/>
    <w:unhideWhenUsed/>
    <w:rsid w:val="00F51DEF"/>
    <w:pPr>
      <w:spacing w:after="120"/>
      <w:ind w:left="360"/>
    </w:pPr>
    <w:rPr>
      <w:sz w:val="16"/>
      <w:szCs w:val="16"/>
    </w:rPr>
  </w:style>
  <w:style w:type="character" w:customStyle="1" w:styleId="BodyTextIndent3Char">
    <w:name w:val="Body Text Indent 3 Char"/>
    <w:basedOn w:val="DefaultParagraphFont"/>
    <w:link w:val="BodyTextIndent3"/>
    <w:uiPriority w:val="99"/>
    <w:rsid w:val="00F51DEF"/>
    <w:rPr>
      <w:rFonts w:ascii="Source Sans Pro" w:hAnsi="Source Sans Pro"/>
      <w:sz w:val="16"/>
      <w:szCs w:val="16"/>
    </w:rPr>
  </w:style>
  <w:style w:type="paragraph" w:styleId="Closing">
    <w:name w:val="Closing"/>
    <w:basedOn w:val="Normal"/>
    <w:link w:val="ClosingChar"/>
    <w:uiPriority w:val="99"/>
    <w:unhideWhenUsed/>
    <w:rsid w:val="00F51DEF"/>
    <w:pPr>
      <w:ind w:left="4320"/>
    </w:pPr>
  </w:style>
  <w:style w:type="character" w:customStyle="1" w:styleId="ClosingChar">
    <w:name w:val="Closing Char"/>
    <w:basedOn w:val="DefaultParagraphFont"/>
    <w:link w:val="Closing"/>
    <w:uiPriority w:val="99"/>
    <w:rsid w:val="00F51DEF"/>
    <w:rPr>
      <w:rFonts w:ascii="Source Sans Pro" w:hAnsi="Source Sans Pro"/>
      <w:sz w:val="24"/>
      <w:szCs w:val="22"/>
    </w:rPr>
  </w:style>
  <w:style w:type="character" w:styleId="CommentReference">
    <w:name w:val="annotation reference"/>
    <w:basedOn w:val="DefaultParagraphFont"/>
    <w:uiPriority w:val="99"/>
    <w:unhideWhenUsed/>
    <w:qFormat/>
    <w:rsid w:val="00F51DEF"/>
    <w:rPr>
      <w:rFonts w:ascii="Source Sans Pro" w:hAnsi="Source Sans Pro"/>
      <w:sz w:val="20"/>
      <w:szCs w:val="16"/>
    </w:rPr>
  </w:style>
  <w:style w:type="paragraph" w:styleId="CommentText">
    <w:name w:val="annotation text"/>
    <w:basedOn w:val="Normal"/>
    <w:link w:val="CommentTextChar"/>
    <w:uiPriority w:val="99"/>
    <w:unhideWhenUsed/>
    <w:rsid w:val="00F51DEF"/>
    <w:rPr>
      <w:szCs w:val="20"/>
    </w:rPr>
  </w:style>
  <w:style w:type="character" w:customStyle="1" w:styleId="CommentTextChar">
    <w:name w:val="Comment Text Char"/>
    <w:basedOn w:val="DefaultParagraphFont"/>
    <w:link w:val="CommentText"/>
    <w:uiPriority w:val="99"/>
    <w:rsid w:val="00F51DEF"/>
    <w:rPr>
      <w:rFonts w:ascii="Source Sans Pro" w:hAnsi="Source Sans Pro"/>
      <w:sz w:val="24"/>
    </w:rPr>
  </w:style>
  <w:style w:type="paragraph" w:styleId="CommentSubject">
    <w:name w:val="annotation subject"/>
    <w:basedOn w:val="CommentText"/>
    <w:next w:val="CommentText"/>
    <w:link w:val="CommentSubjectChar"/>
    <w:uiPriority w:val="99"/>
    <w:unhideWhenUsed/>
    <w:rsid w:val="00F51DEF"/>
    <w:rPr>
      <w:b/>
      <w:bCs/>
    </w:rPr>
  </w:style>
  <w:style w:type="character" w:customStyle="1" w:styleId="CommentSubjectChar">
    <w:name w:val="Comment Subject Char"/>
    <w:basedOn w:val="CommentTextChar"/>
    <w:link w:val="CommentSubject"/>
    <w:uiPriority w:val="99"/>
    <w:rsid w:val="00F51DEF"/>
    <w:rPr>
      <w:rFonts w:ascii="Source Sans Pro" w:hAnsi="Source Sans Pro"/>
      <w:b/>
      <w:bCs/>
      <w:sz w:val="24"/>
    </w:rPr>
  </w:style>
  <w:style w:type="paragraph" w:styleId="Date">
    <w:name w:val="Date"/>
    <w:basedOn w:val="Normal"/>
    <w:next w:val="Normal"/>
    <w:link w:val="DateChar"/>
    <w:uiPriority w:val="99"/>
    <w:unhideWhenUsed/>
    <w:rsid w:val="00F51DEF"/>
  </w:style>
  <w:style w:type="character" w:customStyle="1" w:styleId="DateChar">
    <w:name w:val="Date Char"/>
    <w:basedOn w:val="DefaultParagraphFont"/>
    <w:link w:val="Date"/>
    <w:uiPriority w:val="99"/>
    <w:rsid w:val="00F51DEF"/>
    <w:rPr>
      <w:rFonts w:ascii="Source Sans Pro" w:hAnsi="Source Sans Pro"/>
      <w:sz w:val="24"/>
      <w:szCs w:val="22"/>
    </w:rPr>
  </w:style>
  <w:style w:type="paragraph" w:styleId="DocumentMap">
    <w:name w:val="Document Map"/>
    <w:basedOn w:val="Normal"/>
    <w:link w:val="DocumentMapChar"/>
    <w:uiPriority w:val="99"/>
    <w:unhideWhenUsed/>
    <w:rsid w:val="00F51DEF"/>
    <w:rPr>
      <w:rFonts w:cs="Tahoma"/>
      <w:sz w:val="16"/>
      <w:szCs w:val="16"/>
    </w:rPr>
  </w:style>
  <w:style w:type="character" w:customStyle="1" w:styleId="DocumentMapChar">
    <w:name w:val="Document Map Char"/>
    <w:basedOn w:val="DefaultParagraphFont"/>
    <w:link w:val="DocumentMap"/>
    <w:uiPriority w:val="99"/>
    <w:rsid w:val="00F51DEF"/>
    <w:rPr>
      <w:rFonts w:ascii="Source Sans Pro" w:hAnsi="Source Sans Pro" w:cs="Tahoma"/>
      <w:sz w:val="16"/>
      <w:szCs w:val="16"/>
    </w:rPr>
  </w:style>
  <w:style w:type="character" w:styleId="EndnoteReference">
    <w:name w:val="endnote reference"/>
    <w:basedOn w:val="DefaultParagraphFont"/>
    <w:uiPriority w:val="99"/>
    <w:unhideWhenUsed/>
    <w:rsid w:val="00F51DEF"/>
    <w:rPr>
      <w:vertAlign w:val="superscript"/>
    </w:rPr>
  </w:style>
  <w:style w:type="paragraph" w:styleId="EndnoteText">
    <w:name w:val="endnote text"/>
    <w:basedOn w:val="Normal"/>
    <w:link w:val="EndnoteTextChar"/>
    <w:uiPriority w:val="99"/>
    <w:unhideWhenUsed/>
    <w:rsid w:val="00F51DEF"/>
    <w:rPr>
      <w:szCs w:val="20"/>
    </w:rPr>
  </w:style>
  <w:style w:type="character" w:customStyle="1" w:styleId="EndnoteTextChar">
    <w:name w:val="Endnote Text Char"/>
    <w:basedOn w:val="DefaultParagraphFont"/>
    <w:link w:val="EndnoteText"/>
    <w:uiPriority w:val="99"/>
    <w:rsid w:val="00F51DEF"/>
    <w:rPr>
      <w:rFonts w:ascii="Source Sans Pro" w:hAnsi="Source Sans Pro"/>
      <w:sz w:val="24"/>
    </w:rPr>
  </w:style>
  <w:style w:type="paragraph" w:styleId="EnvelopeReturn">
    <w:name w:val="envelope return"/>
    <w:basedOn w:val="Normal"/>
    <w:uiPriority w:val="99"/>
    <w:unhideWhenUsed/>
    <w:rsid w:val="00F51DEF"/>
    <w:rPr>
      <w:rFonts w:asciiTheme="majorHAnsi" w:eastAsia="Times New Roman" w:hAnsiTheme="majorHAnsi"/>
      <w:szCs w:val="20"/>
    </w:rPr>
  </w:style>
  <w:style w:type="character" w:styleId="FollowedHyperlink">
    <w:name w:val="FollowedHyperlink"/>
    <w:basedOn w:val="DefaultParagraphFont"/>
    <w:uiPriority w:val="99"/>
    <w:unhideWhenUsed/>
    <w:rsid w:val="00F51DEF"/>
    <w:rPr>
      <w:color w:val="800080"/>
      <w:u w:val="single"/>
    </w:rPr>
  </w:style>
  <w:style w:type="paragraph" w:styleId="Footer">
    <w:name w:val="footer"/>
    <w:basedOn w:val="Normal"/>
    <w:link w:val="FooterChar"/>
    <w:uiPriority w:val="99"/>
    <w:unhideWhenUsed/>
    <w:rsid w:val="00F51DEF"/>
    <w:pPr>
      <w:tabs>
        <w:tab w:val="center" w:pos="4680"/>
        <w:tab w:val="right" w:pos="9360"/>
      </w:tabs>
    </w:pPr>
  </w:style>
  <w:style w:type="character" w:customStyle="1" w:styleId="FooterChar">
    <w:name w:val="Footer Char"/>
    <w:basedOn w:val="DefaultParagraphFont"/>
    <w:link w:val="Footer"/>
    <w:uiPriority w:val="99"/>
    <w:rsid w:val="00F51DEF"/>
    <w:rPr>
      <w:rFonts w:ascii="Source Sans Pro" w:hAnsi="Source Sans Pro"/>
      <w:sz w:val="24"/>
      <w:szCs w:val="22"/>
    </w:rPr>
  </w:style>
  <w:style w:type="character" w:styleId="FootnoteReference">
    <w:name w:val="footnote reference"/>
    <w:basedOn w:val="DefaultParagraphFont"/>
    <w:uiPriority w:val="99"/>
    <w:unhideWhenUsed/>
    <w:rsid w:val="00F51DEF"/>
    <w:rPr>
      <w:vertAlign w:val="superscript"/>
    </w:rPr>
  </w:style>
  <w:style w:type="paragraph" w:styleId="FootnoteText">
    <w:name w:val="footnote text"/>
    <w:basedOn w:val="Normal"/>
    <w:link w:val="FootnoteTextChar"/>
    <w:uiPriority w:val="99"/>
    <w:unhideWhenUsed/>
    <w:qFormat/>
    <w:rsid w:val="00F51DEF"/>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F51DEF"/>
    <w:rPr>
      <w:rFonts w:ascii="Source Sans Pro" w:hAnsi="Source Sans Pro"/>
      <w:sz w:val="18"/>
    </w:rPr>
  </w:style>
  <w:style w:type="paragraph" w:styleId="Header">
    <w:name w:val="header"/>
    <w:basedOn w:val="Normal"/>
    <w:link w:val="HeaderChar"/>
    <w:uiPriority w:val="99"/>
    <w:unhideWhenUsed/>
    <w:rsid w:val="00F51DEF"/>
    <w:pPr>
      <w:tabs>
        <w:tab w:val="center" w:pos="4680"/>
        <w:tab w:val="right" w:pos="9360"/>
      </w:tabs>
    </w:pPr>
  </w:style>
  <w:style w:type="character" w:customStyle="1" w:styleId="HeaderChar">
    <w:name w:val="Header Char"/>
    <w:basedOn w:val="DefaultParagraphFont"/>
    <w:link w:val="Header"/>
    <w:uiPriority w:val="99"/>
    <w:rsid w:val="00F51DEF"/>
    <w:rPr>
      <w:rFonts w:ascii="Source Sans Pro" w:hAnsi="Source Sans Pro"/>
      <w:sz w:val="24"/>
      <w:szCs w:val="22"/>
    </w:rPr>
  </w:style>
  <w:style w:type="character" w:styleId="HTMLAcronym">
    <w:name w:val="HTML Acronym"/>
    <w:basedOn w:val="DefaultParagraphFont"/>
    <w:uiPriority w:val="99"/>
    <w:unhideWhenUsed/>
    <w:rsid w:val="00F51DEF"/>
  </w:style>
  <w:style w:type="paragraph" w:styleId="HTMLAddress">
    <w:name w:val="HTML Address"/>
    <w:basedOn w:val="Normal"/>
    <w:link w:val="HTMLAddressChar"/>
    <w:uiPriority w:val="99"/>
    <w:unhideWhenUsed/>
    <w:rsid w:val="00F51DEF"/>
    <w:rPr>
      <w:i/>
      <w:iCs/>
    </w:rPr>
  </w:style>
  <w:style w:type="character" w:customStyle="1" w:styleId="HTMLAddressChar">
    <w:name w:val="HTML Address Char"/>
    <w:basedOn w:val="DefaultParagraphFont"/>
    <w:link w:val="HTMLAddress"/>
    <w:uiPriority w:val="99"/>
    <w:rsid w:val="00F51DEF"/>
    <w:rPr>
      <w:rFonts w:ascii="Source Sans Pro" w:hAnsi="Source Sans Pro"/>
      <w:i/>
      <w:iCs/>
      <w:sz w:val="24"/>
      <w:szCs w:val="22"/>
    </w:rPr>
  </w:style>
  <w:style w:type="character" w:styleId="HTMLCite">
    <w:name w:val="HTML Cite"/>
    <w:basedOn w:val="DefaultParagraphFont"/>
    <w:uiPriority w:val="99"/>
    <w:unhideWhenUsed/>
    <w:rsid w:val="00F51DEF"/>
    <w:rPr>
      <w:i/>
      <w:iCs/>
    </w:rPr>
  </w:style>
  <w:style w:type="character" w:styleId="HTMLCode">
    <w:name w:val="HTML Code"/>
    <w:basedOn w:val="DefaultParagraphFont"/>
    <w:uiPriority w:val="99"/>
    <w:unhideWhenUsed/>
    <w:rsid w:val="00F51DEF"/>
    <w:rPr>
      <w:rFonts w:ascii="Consolas" w:hAnsi="Consolas"/>
      <w:sz w:val="20"/>
      <w:szCs w:val="20"/>
    </w:rPr>
  </w:style>
  <w:style w:type="character" w:styleId="HTMLDefinition">
    <w:name w:val="HTML Definition"/>
    <w:basedOn w:val="DefaultParagraphFont"/>
    <w:uiPriority w:val="99"/>
    <w:unhideWhenUsed/>
    <w:rsid w:val="00F51DEF"/>
    <w:rPr>
      <w:i/>
      <w:iCs/>
    </w:rPr>
  </w:style>
  <w:style w:type="character" w:styleId="HTMLKeyboard">
    <w:name w:val="HTML Keyboard"/>
    <w:basedOn w:val="DefaultParagraphFont"/>
    <w:uiPriority w:val="99"/>
    <w:unhideWhenUsed/>
    <w:rsid w:val="00F51DEF"/>
    <w:rPr>
      <w:rFonts w:ascii="Consolas" w:hAnsi="Consolas"/>
      <w:sz w:val="20"/>
      <w:szCs w:val="20"/>
    </w:rPr>
  </w:style>
  <w:style w:type="paragraph" w:styleId="HTMLPreformatted">
    <w:name w:val="HTML Preformatted"/>
    <w:basedOn w:val="Normal"/>
    <w:link w:val="HTMLPreformattedChar"/>
    <w:uiPriority w:val="99"/>
    <w:unhideWhenUsed/>
    <w:rsid w:val="00F51DEF"/>
    <w:rPr>
      <w:rFonts w:ascii="Consolas" w:hAnsi="Consolas"/>
      <w:szCs w:val="20"/>
    </w:rPr>
  </w:style>
  <w:style w:type="character" w:customStyle="1" w:styleId="HTMLPreformattedChar">
    <w:name w:val="HTML Preformatted Char"/>
    <w:basedOn w:val="DefaultParagraphFont"/>
    <w:link w:val="HTMLPreformatted"/>
    <w:uiPriority w:val="99"/>
    <w:rsid w:val="00F51DEF"/>
    <w:rPr>
      <w:rFonts w:ascii="Consolas" w:hAnsi="Consolas"/>
      <w:sz w:val="24"/>
    </w:rPr>
  </w:style>
  <w:style w:type="character" w:styleId="HTMLSample">
    <w:name w:val="HTML Sample"/>
    <w:basedOn w:val="DefaultParagraphFont"/>
    <w:uiPriority w:val="99"/>
    <w:unhideWhenUsed/>
    <w:rsid w:val="00F51DEF"/>
    <w:rPr>
      <w:rFonts w:ascii="Consolas" w:hAnsi="Consolas"/>
      <w:sz w:val="24"/>
      <w:szCs w:val="24"/>
    </w:rPr>
  </w:style>
  <w:style w:type="character" w:styleId="HTMLTypewriter">
    <w:name w:val="HTML Typewriter"/>
    <w:basedOn w:val="DefaultParagraphFont"/>
    <w:uiPriority w:val="99"/>
    <w:unhideWhenUsed/>
    <w:rsid w:val="00F51DEF"/>
    <w:rPr>
      <w:rFonts w:ascii="Consolas" w:hAnsi="Consolas"/>
      <w:sz w:val="20"/>
      <w:szCs w:val="20"/>
    </w:rPr>
  </w:style>
  <w:style w:type="character" w:styleId="HTMLVariable">
    <w:name w:val="HTML Variable"/>
    <w:basedOn w:val="DefaultParagraphFont"/>
    <w:uiPriority w:val="99"/>
    <w:unhideWhenUsed/>
    <w:rsid w:val="00F51DEF"/>
    <w:rPr>
      <w:i/>
      <w:iCs/>
    </w:rPr>
  </w:style>
  <w:style w:type="paragraph" w:styleId="Index1">
    <w:name w:val="index 1"/>
    <w:basedOn w:val="Normal"/>
    <w:next w:val="Normal"/>
    <w:autoRedefine/>
    <w:uiPriority w:val="99"/>
    <w:unhideWhenUsed/>
    <w:rsid w:val="00F51DEF"/>
    <w:pPr>
      <w:ind w:left="220" w:hanging="220"/>
    </w:pPr>
  </w:style>
  <w:style w:type="paragraph" w:styleId="Index2">
    <w:name w:val="index 2"/>
    <w:basedOn w:val="Normal"/>
    <w:next w:val="Normal"/>
    <w:autoRedefine/>
    <w:uiPriority w:val="99"/>
    <w:unhideWhenUsed/>
    <w:rsid w:val="00F51DEF"/>
    <w:pPr>
      <w:ind w:left="440" w:hanging="220"/>
    </w:pPr>
  </w:style>
  <w:style w:type="paragraph" w:styleId="Index3">
    <w:name w:val="index 3"/>
    <w:basedOn w:val="Normal"/>
    <w:next w:val="Normal"/>
    <w:autoRedefine/>
    <w:uiPriority w:val="99"/>
    <w:unhideWhenUsed/>
    <w:rsid w:val="00F51DEF"/>
    <w:pPr>
      <w:ind w:left="660" w:hanging="220"/>
    </w:pPr>
  </w:style>
  <w:style w:type="paragraph" w:styleId="Index4">
    <w:name w:val="index 4"/>
    <w:basedOn w:val="Normal"/>
    <w:next w:val="Normal"/>
    <w:autoRedefine/>
    <w:uiPriority w:val="99"/>
    <w:unhideWhenUsed/>
    <w:rsid w:val="00F51DEF"/>
    <w:pPr>
      <w:ind w:left="880" w:hanging="220"/>
    </w:pPr>
  </w:style>
  <w:style w:type="paragraph" w:styleId="Index6">
    <w:name w:val="index 6"/>
    <w:basedOn w:val="Normal"/>
    <w:next w:val="Normal"/>
    <w:autoRedefine/>
    <w:uiPriority w:val="99"/>
    <w:unhideWhenUsed/>
    <w:rsid w:val="00F51DEF"/>
    <w:pPr>
      <w:ind w:left="1320" w:hanging="220"/>
    </w:pPr>
  </w:style>
  <w:style w:type="paragraph" w:styleId="Index5">
    <w:name w:val="index 5"/>
    <w:basedOn w:val="Normal"/>
    <w:next w:val="Normal"/>
    <w:autoRedefine/>
    <w:uiPriority w:val="99"/>
    <w:unhideWhenUsed/>
    <w:rsid w:val="00F51DEF"/>
    <w:pPr>
      <w:ind w:left="1100" w:hanging="220"/>
    </w:pPr>
  </w:style>
  <w:style w:type="paragraph" w:styleId="Index7">
    <w:name w:val="index 7"/>
    <w:basedOn w:val="Normal"/>
    <w:next w:val="Normal"/>
    <w:autoRedefine/>
    <w:uiPriority w:val="99"/>
    <w:unhideWhenUsed/>
    <w:rsid w:val="00F51DEF"/>
    <w:pPr>
      <w:ind w:left="1540" w:hanging="220"/>
    </w:pPr>
  </w:style>
  <w:style w:type="paragraph" w:styleId="Index8">
    <w:name w:val="index 8"/>
    <w:basedOn w:val="Normal"/>
    <w:next w:val="Normal"/>
    <w:autoRedefine/>
    <w:uiPriority w:val="99"/>
    <w:unhideWhenUsed/>
    <w:rsid w:val="00F51DEF"/>
    <w:pPr>
      <w:ind w:left="1760" w:hanging="220"/>
    </w:pPr>
  </w:style>
  <w:style w:type="paragraph" w:styleId="Index9">
    <w:name w:val="index 9"/>
    <w:basedOn w:val="Normal"/>
    <w:next w:val="Normal"/>
    <w:autoRedefine/>
    <w:uiPriority w:val="99"/>
    <w:unhideWhenUsed/>
    <w:rsid w:val="00F51DEF"/>
    <w:pPr>
      <w:ind w:left="1980" w:hanging="220"/>
    </w:pPr>
  </w:style>
  <w:style w:type="paragraph" w:styleId="IndexHeading">
    <w:name w:val="index heading"/>
    <w:basedOn w:val="Normal"/>
    <w:next w:val="Index1"/>
    <w:uiPriority w:val="99"/>
    <w:unhideWhenUsed/>
    <w:rsid w:val="00F51DEF"/>
    <w:rPr>
      <w:rFonts w:asciiTheme="majorHAnsi" w:eastAsia="Times New Roman" w:hAnsiTheme="majorHAnsi"/>
      <w:b/>
      <w:bCs/>
    </w:rPr>
  </w:style>
  <w:style w:type="character" w:styleId="LineNumber">
    <w:name w:val="line number"/>
    <w:basedOn w:val="DefaultParagraphFont"/>
    <w:uiPriority w:val="99"/>
    <w:unhideWhenUsed/>
    <w:rsid w:val="00F51DEF"/>
  </w:style>
  <w:style w:type="paragraph" w:styleId="List">
    <w:name w:val="List"/>
    <w:basedOn w:val="Normal"/>
    <w:uiPriority w:val="99"/>
    <w:unhideWhenUsed/>
    <w:rsid w:val="00F51DEF"/>
    <w:pPr>
      <w:ind w:left="360" w:hanging="360"/>
      <w:contextualSpacing/>
    </w:pPr>
  </w:style>
  <w:style w:type="paragraph" w:styleId="List2">
    <w:name w:val="List 2"/>
    <w:basedOn w:val="Normal"/>
    <w:uiPriority w:val="99"/>
    <w:unhideWhenUsed/>
    <w:rsid w:val="00F51DEF"/>
    <w:pPr>
      <w:ind w:left="720" w:hanging="360"/>
      <w:contextualSpacing/>
    </w:pPr>
  </w:style>
  <w:style w:type="paragraph" w:styleId="List3">
    <w:name w:val="List 3"/>
    <w:basedOn w:val="Normal"/>
    <w:uiPriority w:val="99"/>
    <w:unhideWhenUsed/>
    <w:rsid w:val="00F51DEF"/>
    <w:pPr>
      <w:ind w:left="1080" w:hanging="360"/>
      <w:contextualSpacing/>
    </w:pPr>
  </w:style>
  <w:style w:type="paragraph" w:styleId="List4">
    <w:name w:val="List 4"/>
    <w:basedOn w:val="Normal"/>
    <w:uiPriority w:val="99"/>
    <w:unhideWhenUsed/>
    <w:rsid w:val="00F51DEF"/>
    <w:pPr>
      <w:ind w:left="1440" w:hanging="360"/>
      <w:contextualSpacing/>
    </w:pPr>
  </w:style>
  <w:style w:type="paragraph" w:styleId="List5">
    <w:name w:val="List 5"/>
    <w:basedOn w:val="Normal"/>
    <w:uiPriority w:val="99"/>
    <w:unhideWhenUsed/>
    <w:rsid w:val="00F51DEF"/>
    <w:pPr>
      <w:ind w:left="1800" w:hanging="360"/>
      <w:contextualSpacing/>
    </w:pPr>
  </w:style>
  <w:style w:type="paragraph" w:styleId="ListBullet">
    <w:name w:val="List Bullet"/>
    <w:basedOn w:val="Normal"/>
    <w:uiPriority w:val="99"/>
    <w:unhideWhenUsed/>
    <w:qFormat/>
    <w:rsid w:val="00F51DEF"/>
    <w:pPr>
      <w:numPr>
        <w:numId w:val="1"/>
      </w:numPr>
      <w:ind w:left="720" w:hanging="288"/>
    </w:pPr>
  </w:style>
  <w:style w:type="paragraph" w:styleId="ListBullet2">
    <w:name w:val="List Bullet 2"/>
    <w:basedOn w:val="Normal"/>
    <w:uiPriority w:val="99"/>
    <w:unhideWhenUsed/>
    <w:rsid w:val="00F51DEF"/>
    <w:pPr>
      <w:numPr>
        <w:numId w:val="3"/>
      </w:numPr>
      <w:ind w:left="1008" w:hanging="288"/>
    </w:pPr>
  </w:style>
  <w:style w:type="paragraph" w:styleId="ListBullet3">
    <w:name w:val="List Bullet 3"/>
    <w:basedOn w:val="Normal"/>
    <w:uiPriority w:val="99"/>
    <w:unhideWhenUsed/>
    <w:rsid w:val="00F51DEF"/>
    <w:pPr>
      <w:numPr>
        <w:numId w:val="4"/>
      </w:numPr>
      <w:ind w:left="1440"/>
      <w:contextualSpacing/>
    </w:pPr>
  </w:style>
  <w:style w:type="paragraph" w:styleId="ListBullet4">
    <w:name w:val="List Bullet 4"/>
    <w:basedOn w:val="Normal"/>
    <w:uiPriority w:val="99"/>
    <w:unhideWhenUsed/>
    <w:rsid w:val="00F51DEF"/>
    <w:pPr>
      <w:numPr>
        <w:numId w:val="5"/>
      </w:numPr>
      <w:contextualSpacing/>
    </w:pPr>
  </w:style>
  <w:style w:type="paragraph" w:styleId="ListContinue">
    <w:name w:val="List Continue"/>
    <w:basedOn w:val="Normal"/>
    <w:uiPriority w:val="99"/>
    <w:unhideWhenUsed/>
    <w:rsid w:val="00F51DEF"/>
    <w:pPr>
      <w:spacing w:after="120"/>
      <w:ind w:left="360"/>
      <w:contextualSpacing/>
    </w:pPr>
  </w:style>
  <w:style w:type="paragraph" w:styleId="ListContinue2">
    <w:name w:val="List Continue 2"/>
    <w:basedOn w:val="Normal"/>
    <w:uiPriority w:val="99"/>
    <w:unhideWhenUsed/>
    <w:rsid w:val="00F51DEF"/>
    <w:pPr>
      <w:spacing w:after="120"/>
      <w:ind w:left="720"/>
      <w:contextualSpacing/>
    </w:pPr>
  </w:style>
  <w:style w:type="paragraph" w:styleId="ListContinue3">
    <w:name w:val="List Continue 3"/>
    <w:basedOn w:val="Normal"/>
    <w:uiPriority w:val="99"/>
    <w:unhideWhenUsed/>
    <w:rsid w:val="00F51DEF"/>
    <w:pPr>
      <w:spacing w:after="120"/>
      <w:ind w:left="1080"/>
      <w:contextualSpacing/>
    </w:pPr>
  </w:style>
  <w:style w:type="paragraph" w:styleId="ListContinue4">
    <w:name w:val="List Continue 4"/>
    <w:basedOn w:val="Normal"/>
    <w:uiPriority w:val="99"/>
    <w:unhideWhenUsed/>
    <w:rsid w:val="00F51DEF"/>
    <w:pPr>
      <w:spacing w:after="120"/>
      <w:ind w:left="1440"/>
      <w:contextualSpacing/>
    </w:pPr>
  </w:style>
  <w:style w:type="paragraph" w:styleId="ListContinue5">
    <w:name w:val="List Continue 5"/>
    <w:basedOn w:val="Normal"/>
    <w:uiPriority w:val="99"/>
    <w:unhideWhenUsed/>
    <w:rsid w:val="00F51DEF"/>
    <w:pPr>
      <w:spacing w:after="120"/>
      <w:ind w:left="1800"/>
      <w:contextualSpacing/>
    </w:pPr>
  </w:style>
  <w:style w:type="paragraph" w:styleId="ListNumber">
    <w:name w:val="List Number"/>
    <w:basedOn w:val="Normal"/>
    <w:uiPriority w:val="99"/>
    <w:unhideWhenUsed/>
    <w:rsid w:val="00F51DEF"/>
    <w:pPr>
      <w:numPr>
        <w:numId w:val="2"/>
      </w:numPr>
      <w:contextualSpacing/>
    </w:pPr>
  </w:style>
  <w:style w:type="paragraph" w:styleId="ListNumber2">
    <w:name w:val="List Number 2"/>
    <w:basedOn w:val="Normal"/>
    <w:uiPriority w:val="99"/>
    <w:unhideWhenUsed/>
    <w:rsid w:val="00F51DEF"/>
    <w:pPr>
      <w:numPr>
        <w:numId w:val="6"/>
      </w:numPr>
      <w:contextualSpacing/>
    </w:pPr>
  </w:style>
  <w:style w:type="paragraph" w:styleId="ListNumber3">
    <w:name w:val="List Number 3"/>
    <w:basedOn w:val="Normal"/>
    <w:uiPriority w:val="99"/>
    <w:unhideWhenUsed/>
    <w:rsid w:val="00F51DEF"/>
    <w:pPr>
      <w:numPr>
        <w:numId w:val="7"/>
      </w:numPr>
      <w:contextualSpacing/>
    </w:pPr>
  </w:style>
  <w:style w:type="paragraph" w:styleId="ListNumber4">
    <w:name w:val="List Number 4"/>
    <w:basedOn w:val="Normal"/>
    <w:uiPriority w:val="99"/>
    <w:unhideWhenUsed/>
    <w:rsid w:val="00F51DEF"/>
    <w:pPr>
      <w:numPr>
        <w:numId w:val="8"/>
      </w:numPr>
      <w:contextualSpacing/>
    </w:pPr>
  </w:style>
  <w:style w:type="paragraph" w:styleId="ListNumber5">
    <w:name w:val="List Number 5"/>
    <w:basedOn w:val="Normal"/>
    <w:uiPriority w:val="99"/>
    <w:unhideWhenUsed/>
    <w:rsid w:val="00F51DEF"/>
    <w:pPr>
      <w:numPr>
        <w:numId w:val="9"/>
      </w:numPr>
      <w:contextualSpacing/>
    </w:pPr>
  </w:style>
  <w:style w:type="paragraph" w:styleId="MacroText">
    <w:name w:val="macro"/>
    <w:link w:val="MacroTextChar"/>
    <w:uiPriority w:val="99"/>
    <w:unhideWhenUsed/>
    <w:rsid w:val="00F51DEF"/>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F51DEF"/>
    <w:rPr>
      <w:rFonts w:ascii="Consolas" w:hAnsi="Consolas"/>
    </w:rPr>
  </w:style>
  <w:style w:type="paragraph" w:styleId="MessageHeader">
    <w:name w:val="Message Header"/>
    <w:basedOn w:val="Normal"/>
    <w:link w:val="MessageHeaderChar"/>
    <w:uiPriority w:val="99"/>
    <w:unhideWhenUsed/>
    <w:rsid w:val="00F51DEF"/>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F51DEF"/>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F51DEF"/>
    <w:rPr>
      <w:rFonts w:ascii="Times New Roman" w:hAnsi="Times New Roman"/>
      <w:szCs w:val="24"/>
    </w:rPr>
  </w:style>
  <w:style w:type="paragraph" w:styleId="NormalIndent">
    <w:name w:val="Normal Indent"/>
    <w:basedOn w:val="Normal"/>
    <w:uiPriority w:val="99"/>
    <w:unhideWhenUsed/>
    <w:rsid w:val="00F51DEF"/>
    <w:pPr>
      <w:ind w:left="720"/>
    </w:pPr>
  </w:style>
  <w:style w:type="paragraph" w:styleId="NoteHeading">
    <w:name w:val="Note Heading"/>
    <w:basedOn w:val="Normal"/>
    <w:next w:val="Normal"/>
    <w:link w:val="NoteHeadingChar"/>
    <w:uiPriority w:val="99"/>
    <w:unhideWhenUsed/>
    <w:rsid w:val="00F51DEF"/>
  </w:style>
  <w:style w:type="character" w:customStyle="1" w:styleId="NoteHeadingChar">
    <w:name w:val="Note Heading Char"/>
    <w:basedOn w:val="DefaultParagraphFont"/>
    <w:link w:val="NoteHeading"/>
    <w:uiPriority w:val="99"/>
    <w:rsid w:val="00F51DEF"/>
    <w:rPr>
      <w:rFonts w:ascii="Source Sans Pro" w:hAnsi="Source Sans Pro"/>
      <w:sz w:val="24"/>
      <w:szCs w:val="22"/>
    </w:rPr>
  </w:style>
  <w:style w:type="character" w:styleId="PageNumber">
    <w:name w:val="page number"/>
    <w:basedOn w:val="DefaultParagraphFont"/>
    <w:uiPriority w:val="99"/>
    <w:unhideWhenUsed/>
    <w:rsid w:val="00F51DEF"/>
  </w:style>
  <w:style w:type="character" w:styleId="PlaceholderText">
    <w:name w:val="Placeholder Text"/>
    <w:basedOn w:val="DefaultParagraphFont"/>
    <w:uiPriority w:val="99"/>
    <w:semiHidden/>
    <w:rsid w:val="00F51DEF"/>
    <w:rPr>
      <w:color w:val="808080"/>
    </w:rPr>
  </w:style>
  <w:style w:type="paragraph" w:styleId="PlainText">
    <w:name w:val="Plain Text"/>
    <w:basedOn w:val="Normal"/>
    <w:link w:val="PlainTextChar"/>
    <w:uiPriority w:val="99"/>
    <w:unhideWhenUsed/>
    <w:rsid w:val="00F51DEF"/>
    <w:rPr>
      <w:rFonts w:ascii="Consolas" w:hAnsi="Consolas"/>
      <w:sz w:val="21"/>
      <w:szCs w:val="21"/>
    </w:rPr>
  </w:style>
  <w:style w:type="character" w:customStyle="1" w:styleId="PlainTextChar">
    <w:name w:val="Plain Text Char"/>
    <w:basedOn w:val="DefaultParagraphFont"/>
    <w:link w:val="PlainText"/>
    <w:uiPriority w:val="99"/>
    <w:rsid w:val="00F51DEF"/>
    <w:rPr>
      <w:rFonts w:ascii="Consolas" w:hAnsi="Consolas"/>
      <w:sz w:val="21"/>
      <w:szCs w:val="21"/>
    </w:rPr>
  </w:style>
  <w:style w:type="paragraph" w:styleId="Salutation">
    <w:name w:val="Salutation"/>
    <w:basedOn w:val="Normal"/>
    <w:next w:val="Normal"/>
    <w:link w:val="SalutationChar"/>
    <w:uiPriority w:val="99"/>
    <w:unhideWhenUsed/>
    <w:rsid w:val="00F51DEF"/>
  </w:style>
  <w:style w:type="character" w:customStyle="1" w:styleId="SalutationChar">
    <w:name w:val="Salutation Char"/>
    <w:basedOn w:val="DefaultParagraphFont"/>
    <w:link w:val="Salutation"/>
    <w:uiPriority w:val="99"/>
    <w:rsid w:val="00F51DEF"/>
    <w:rPr>
      <w:rFonts w:ascii="Source Sans Pro" w:hAnsi="Source Sans Pro"/>
      <w:sz w:val="24"/>
      <w:szCs w:val="22"/>
    </w:rPr>
  </w:style>
  <w:style w:type="paragraph" w:styleId="Signature">
    <w:name w:val="Signature"/>
    <w:basedOn w:val="Normal"/>
    <w:link w:val="SignatureChar"/>
    <w:uiPriority w:val="99"/>
    <w:unhideWhenUsed/>
    <w:rsid w:val="00F51DEF"/>
    <w:pPr>
      <w:ind w:left="4320"/>
    </w:pPr>
  </w:style>
  <w:style w:type="character" w:customStyle="1" w:styleId="SignatureChar">
    <w:name w:val="Signature Char"/>
    <w:basedOn w:val="DefaultParagraphFont"/>
    <w:link w:val="Signature"/>
    <w:uiPriority w:val="99"/>
    <w:rsid w:val="00F51DEF"/>
    <w:rPr>
      <w:rFonts w:ascii="Source Sans Pro" w:hAnsi="Source Sans Pro"/>
      <w:sz w:val="24"/>
      <w:szCs w:val="22"/>
    </w:rPr>
  </w:style>
  <w:style w:type="paragraph" w:styleId="TableofAuthorities">
    <w:name w:val="table of authorities"/>
    <w:basedOn w:val="Normal"/>
    <w:next w:val="Normal"/>
    <w:uiPriority w:val="99"/>
    <w:unhideWhenUsed/>
    <w:rsid w:val="00F51DEF"/>
    <w:pPr>
      <w:ind w:left="220" w:hanging="220"/>
    </w:pPr>
  </w:style>
  <w:style w:type="paragraph" w:styleId="TableofFigures">
    <w:name w:val="table of figures"/>
    <w:basedOn w:val="Normal"/>
    <w:next w:val="Normal"/>
    <w:uiPriority w:val="99"/>
    <w:unhideWhenUsed/>
    <w:rsid w:val="00F51DEF"/>
  </w:style>
  <w:style w:type="paragraph" w:styleId="TOAHeading">
    <w:name w:val="toa heading"/>
    <w:basedOn w:val="Normal"/>
    <w:next w:val="Normal"/>
    <w:uiPriority w:val="99"/>
    <w:unhideWhenUsed/>
    <w:rsid w:val="00F51DEF"/>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F51DEF"/>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F51DE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F51DEF"/>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F51DE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F51DEF"/>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F51DEF"/>
    <w:pPr>
      <w:tabs>
        <w:tab w:val="right" w:pos="8460"/>
      </w:tabs>
      <w:spacing w:line="600" w:lineRule="auto"/>
    </w:pPr>
  </w:style>
  <w:style w:type="paragraph" w:customStyle="1" w:styleId="ListForm">
    <w:name w:val="List Form"/>
    <w:basedOn w:val="List"/>
    <w:rsid w:val="00F51DEF"/>
    <w:pPr>
      <w:spacing w:before="240"/>
    </w:pPr>
  </w:style>
  <w:style w:type="paragraph" w:customStyle="1" w:styleId="TableHead1">
    <w:name w:val="Table Head 1"/>
    <w:basedOn w:val="Normal"/>
    <w:qFormat/>
    <w:rsid w:val="00F51DEF"/>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F51DEF"/>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F51DEF"/>
    <w:pPr>
      <w:spacing w:before="0" w:after="0"/>
      <w:ind w:left="432"/>
    </w:pPr>
  </w:style>
  <w:style w:type="paragraph" w:customStyle="1" w:styleId="AssumptionsBody">
    <w:name w:val="Assumptions Body"/>
    <w:basedOn w:val="Normal"/>
    <w:rsid w:val="00F51DEF"/>
    <w:pPr>
      <w:ind w:left="288"/>
    </w:pPr>
    <w:rPr>
      <w:sz w:val="18"/>
    </w:rPr>
  </w:style>
  <w:style w:type="paragraph" w:customStyle="1" w:styleId="hypotheticalillustration">
    <w:name w:val="hypothetical illustration"/>
    <w:basedOn w:val="Normal"/>
    <w:rsid w:val="00F51DEF"/>
    <w:pPr>
      <w:jc w:val="center"/>
    </w:pPr>
    <w:rPr>
      <w:sz w:val="20"/>
    </w:rPr>
  </w:style>
  <w:style w:type="table" w:customStyle="1" w:styleId="echoWealthMonopoly">
    <w:name w:val="echoWealth Monopoly"/>
    <w:basedOn w:val="TableNormal"/>
    <w:uiPriority w:val="99"/>
    <w:qFormat/>
    <w:rsid w:val="00F51DEF"/>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F51DEF"/>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F51DEF"/>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F51DEF"/>
    <w:rPr>
      <w:rFonts w:ascii="Roboto Slab Regular" w:hAnsi="Roboto Slab Regular"/>
      <w:color w:val="344373"/>
      <w:sz w:val="36"/>
      <w:szCs w:val="36"/>
    </w:rPr>
  </w:style>
  <w:style w:type="paragraph" w:customStyle="1" w:styleId="ListAlpha">
    <w:name w:val="List Alpha"/>
    <w:basedOn w:val="ListBullet"/>
    <w:rsid w:val="00F51DEF"/>
    <w:pPr>
      <w:numPr>
        <w:numId w:val="10"/>
      </w:numPr>
    </w:pPr>
  </w:style>
  <w:style w:type="table" w:customStyle="1" w:styleId="NewStyle2014">
    <w:name w:val="New Style 2014"/>
    <w:basedOn w:val="TableNormal"/>
    <w:uiPriority w:val="99"/>
    <w:qFormat/>
    <w:rsid w:val="00F51DEF"/>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F51DEF"/>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F51DEF"/>
    <w:rPr>
      <w:rFonts w:ascii="Source Sans Pro Semibold" w:hAnsi="Source Sans Pro Semibold" w:cstheme="minorHAnsi"/>
      <w:color w:val="FFFFFF" w:themeColor="background1"/>
    </w:rPr>
  </w:style>
  <w:style w:type="paragraph" w:customStyle="1" w:styleId="Body">
    <w:name w:val="Body"/>
    <w:basedOn w:val="Normal"/>
    <w:link w:val="BodyChar"/>
    <w:qFormat/>
    <w:rsid w:val="00F51DEF"/>
    <w:rPr>
      <w:szCs w:val="24"/>
    </w:rPr>
  </w:style>
  <w:style w:type="character" w:customStyle="1" w:styleId="BodyChar">
    <w:name w:val="Body Char"/>
    <w:basedOn w:val="DefaultParagraphFont"/>
    <w:link w:val="Body"/>
    <w:rsid w:val="00F51DEF"/>
    <w:rPr>
      <w:rFonts w:ascii="Source Sans Pro" w:hAnsi="Source Sans Pro"/>
      <w:sz w:val="24"/>
      <w:szCs w:val="24"/>
    </w:rPr>
  </w:style>
  <w:style w:type="paragraph" w:customStyle="1" w:styleId="TableTitle1">
    <w:name w:val="Table Title 1"/>
    <w:basedOn w:val="Heading1"/>
    <w:link w:val="TableTitle1Char"/>
    <w:qFormat/>
    <w:rsid w:val="00F51DEF"/>
    <w:pPr>
      <w:jc w:val="center"/>
    </w:pPr>
    <w:rPr>
      <w:color w:val="344373"/>
    </w:rPr>
  </w:style>
  <w:style w:type="character" w:customStyle="1" w:styleId="TableTitle1Char">
    <w:name w:val="Table Title 1 Char"/>
    <w:basedOn w:val="Heading1Char"/>
    <w:link w:val="TableTitle1"/>
    <w:rsid w:val="00F51DEF"/>
    <w:rPr>
      <w:rFonts w:ascii="Roboto Slab Regular" w:eastAsia="Times New Roman" w:hAnsi="Roboto Slab Regular"/>
      <w:bCs/>
      <w:color w:val="344373"/>
      <w:sz w:val="28"/>
      <w:szCs w:val="28"/>
    </w:rPr>
  </w:style>
  <w:style w:type="paragraph" w:customStyle="1" w:styleId="Note">
    <w:name w:val="Note"/>
    <w:basedOn w:val="CommentText"/>
    <w:link w:val="NoteChar"/>
    <w:qFormat/>
    <w:rsid w:val="00F51DEF"/>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F51DEF"/>
    <w:rPr>
      <w:rFonts w:ascii="Source Sans Pro Semibold" w:hAnsi="Source Sans Pro Semibold"/>
      <w:color w:val="344373"/>
      <w:sz w:val="24"/>
      <w:szCs w:val="24"/>
    </w:rPr>
  </w:style>
  <w:style w:type="paragraph" w:customStyle="1" w:styleId="Footnote">
    <w:name w:val="Footnote"/>
    <w:basedOn w:val="FootnoteText"/>
    <w:link w:val="FootnoteChar"/>
    <w:qFormat/>
    <w:rsid w:val="00F51DEF"/>
    <w:pPr>
      <w:spacing w:line="240" w:lineRule="auto"/>
      <w:ind w:left="101" w:hanging="101"/>
      <w:jc w:val="both"/>
    </w:pPr>
    <w:rPr>
      <w:szCs w:val="18"/>
    </w:rPr>
  </w:style>
  <w:style w:type="character" w:customStyle="1" w:styleId="FootnoteChar">
    <w:name w:val="Footnote Char"/>
    <w:basedOn w:val="FootnoteTextChar"/>
    <w:link w:val="Footnote"/>
    <w:rsid w:val="00F51DEF"/>
    <w:rPr>
      <w:rFonts w:ascii="Source Sans Pro" w:hAnsi="Source Sans Pro"/>
      <w:sz w:val="18"/>
      <w:szCs w:val="18"/>
    </w:rPr>
  </w:style>
  <w:style w:type="paragraph" w:customStyle="1" w:styleId="TableBody">
    <w:name w:val="Table Body"/>
    <w:basedOn w:val="Normal"/>
    <w:qFormat/>
    <w:rsid w:val="00F51DEF"/>
    <w:pPr>
      <w:spacing w:before="0" w:after="0"/>
    </w:pPr>
    <w:rPr>
      <w:sz w:val="20"/>
      <w:szCs w:val="20"/>
    </w:rPr>
  </w:style>
  <w:style w:type="paragraph" w:customStyle="1" w:styleId="TableBodyStrong">
    <w:name w:val="Table Body Strong"/>
    <w:basedOn w:val="TableBody"/>
    <w:qFormat/>
    <w:rsid w:val="00F51DEF"/>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character" w:customStyle="1" w:styleId="bold">
    <w:name w:val="bold"/>
    <w:uiPriority w:val="99"/>
    <w:rsid w:val="00DD2CCA"/>
    <w:rPr>
      <w:b/>
    </w:rPr>
  </w:style>
  <w:style w:type="character" w:customStyle="1" w:styleId="italic">
    <w:name w:val="italic"/>
    <w:rsid w:val="00DD2CCA"/>
    <w:rPr>
      <w:i/>
    </w:rPr>
  </w:style>
  <w:style w:type="character" w:customStyle="1" w:styleId="italicext">
    <w:name w:val="italic_ext"/>
    <w:rsid w:val="00DD2CCA"/>
    <w:rPr>
      <w:i/>
    </w:rPr>
  </w:style>
  <w:style w:type="paragraph" w:customStyle="1" w:styleId="Index">
    <w:name w:val="Index"/>
    <w:rsid w:val="006F68C5"/>
    <w:pPr>
      <w:tabs>
        <w:tab w:val="left" w:pos="288"/>
        <w:tab w:val="left" w:pos="576"/>
        <w:tab w:val="left" w:pos="864"/>
        <w:tab w:val="right" w:leader="dot" w:pos="3960"/>
      </w:tabs>
      <w:ind w:left="288" w:hanging="288"/>
    </w:pPr>
    <w:rPr>
      <w:rFonts w:ascii="Palatino LT Std" w:eastAsia="Times New Roman" w:hAnsi="Palatino LT Std"/>
    </w:rPr>
  </w:style>
  <w:style w:type="paragraph" w:customStyle="1" w:styleId="TOC">
    <w:name w:val="TOC"/>
    <w:rsid w:val="006F68C5"/>
    <w:pPr>
      <w:tabs>
        <w:tab w:val="left" w:pos="1170"/>
        <w:tab w:val="right" w:leader="dot" w:pos="8640"/>
      </w:tabs>
      <w:ind w:left="1170" w:hanging="1170"/>
    </w:pPr>
    <w:rPr>
      <w:rFonts w:ascii="Palatino LT Std" w:eastAsia="Times New Roman" w:hAnsi="Palatino LT Std"/>
      <w:sz w:val="22"/>
    </w:rPr>
  </w:style>
  <w:style w:type="paragraph" w:customStyle="1" w:styleId="Exhibit">
    <w:name w:val="Exhibit"/>
    <w:rsid w:val="006F68C5"/>
    <w:pPr>
      <w:overflowPunct w:val="0"/>
      <w:autoSpaceDE w:val="0"/>
      <w:autoSpaceDN w:val="0"/>
      <w:adjustRightInd w:val="0"/>
      <w:textAlignment w:val="baseline"/>
    </w:pPr>
    <w:rPr>
      <w:rFonts w:ascii="Palatino LT Std" w:eastAsia="Times New Roman" w:hAnsi="Palatino LT Std"/>
    </w:rPr>
  </w:style>
  <w:style w:type="paragraph" w:customStyle="1" w:styleId="Figure">
    <w:name w:val="Figure"/>
    <w:rsid w:val="006F68C5"/>
    <w:pPr>
      <w:tabs>
        <w:tab w:val="right" w:pos="1350"/>
        <w:tab w:val="right" w:pos="2250"/>
        <w:tab w:val="right" w:pos="3150"/>
        <w:tab w:val="right" w:pos="4050"/>
        <w:tab w:val="right" w:pos="4950"/>
        <w:tab w:val="right" w:pos="5850"/>
        <w:tab w:val="right" w:pos="6570"/>
        <w:tab w:val="right" w:pos="7470"/>
        <w:tab w:val="right" w:pos="8370"/>
        <w:tab w:val="right" w:pos="9180"/>
      </w:tabs>
      <w:overflowPunct w:val="0"/>
      <w:autoSpaceDE w:val="0"/>
      <w:autoSpaceDN w:val="0"/>
      <w:adjustRightInd w:val="0"/>
      <w:textAlignment w:val="baseline"/>
    </w:pPr>
    <w:rPr>
      <w:rFonts w:ascii="Palatino LT Std" w:eastAsia="Times New Roman" w:hAnsi="Palatino LT Std"/>
    </w:rPr>
  </w:style>
  <w:style w:type="paragraph" w:customStyle="1" w:styleId="Test">
    <w:name w:val="Test"/>
    <w:basedOn w:val="Normal"/>
    <w:link w:val="TestChar"/>
    <w:rsid w:val="00684986"/>
    <w:pPr>
      <w:spacing w:before="0" w:after="240" w:line="240" w:lineRule="auto"/>
      <w:ind w:left="360" w:firstLine="288"/>
      <w:jc w:val="both"/>
    </w:pPr>
    <w:rPr>
      <w:rFonts w:ascii="Palatino LT Std" w:eastAsia="Times New Roman" w:hAnsi="Palatino LT Std"/>
      <w:sz w:val="22"/>
      <w:szCs w:val="20"/>
    </w:rPr>
  </w:style>
  <w:style w:type="character" w:customStyle="1" w:styleId="TestChar">
    <w:name w:val="Test Char"/>
    <w:link w:val="Test"/>
    <w:rsid w:val="006F68C5"/>
    <w:rPr>
      <w:rFonts w:ascii="Palatino LT Std" w:eastAsia="Times New Roman" w:hAnsi="Palatino LT Std"/>
      <w:sz w:val="22"/>
    </w:rPr>
  </w:style>
  <w:style w:type="paragraph" w:customStyle="1" w:styleId="NUHeading2">
    <w:name w:val="NUHeading2"/>
    <w:basedOn w:val="Heading2"/>
    <w:link w:val="NUHeading2Char"/>
    <w:qFormat/>
    <w:rsid w:val="00F51DEF"/>
    <w:rPr>
      <w:sz w:val="26"/>
    </w:rPr>
  </w:style>
  <w:style w:type="paragraph" w:customStyle="1" w:styleId="NUHeading3">
    <w:name w:val="NUHeading3"/>
    <w:basedOn w:val="NUHeading2"/>
    <w:link w:val="NUHeading3Char"/>
    <w:qFormat/>
    <w:rsid w:val="00F51DEF"/>
    <w:rPr>
      <w:sz w:val="24"/>
    </w:rPr>
  </w:style>
  <w:style w:type="character" w:customStyle="1" w:styleId="NUHeading2Char">
    <w:name w:val="NUHeading2 Char"/>
    <w:basedOn w:val="Heading2Char"/>
    <w:link w:val="NUHeading2"/>
    <w:rsid w:val="00F51DEF"/>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F51DEF"/>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4930-ED1E-4BFE-9FF0-EF4AA58B589B}">
  <ds:schemaRefs>
    <ds:schemaRef ds:uri="http://schemas.microsoft.com/sharepoint/v3"/>
    <ds:schemaRef ds:uri="http://www.w3.org/XML/1998/namespace"/>
    <ds:schemaRef ds:uri="http://purl.org/dc/dcmitype/"/>
    <ds:schemaRef ds:uri="http://purl.org/dc/elements/1.1/"/>
    <ds:schemaRef ds:uri="http://purl.org/dc/terms/"/>
    <ds:schemaRef ds:uri="http://schemas.microsoft.com/office/infopath/2007/PartnerControls"/>
    <ds:schemaRef ds:uri="http://schemas.microsoft.com/sharepoint/v3/fields"/>
    <ds:schemaRef ds:uri="http://schemas.microsoft.com/office/2006/documentManagement/types"/>
    <ds:schemaRef ds:uri="http://schemas.openxmlformats.org/package/2006/metadata/core-properties"/>
    <ds:schemaRef ds:uri="bd4595a5-0c26-4f37-8662-9fd3f53ff4ea"/>
    <ds:schemaRef ds:uri="http://schemas.microsoft.com/office/2006/metadata/properties"/>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0D6D5C-E56B-4461-A63D-4DC3CF8E1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21</Pages>
  <Words>6224</Words>
  <Characters>35483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41624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2015-01-30T20:14:00Z</dcterms:created>
  <dcterms:modified xsi:type="dcterms:W3CDTF">2015-01-30T20:14:00Z</dcterms:modified>
</cp:coreProperties>
</file>