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7D41EA"/>
    <w:p w:rsidR="007D41EA" w:rsidRDefault="007D41EA"/>
    <w:tbl>
      <w:tblPr>
        <w:tblW w:w="7200" w:type="dxa"/>
        <w:jc w:val="center"/>
        <w:tblCellSpacing w:w="0" w:type="dxa"/>
        <w:tblCellMar>
          <w:left w:w="0" w:type="dxa"/>
          <w:right w:w="0" w:type="dxa"/>
        </w:tblCellMar>
        <w:tblLook w:val="04A0" w:firstRow="1" w:lastRow="0" w:firstColumn="1" w:lastColumn="0" w:noHBand="0" w:noVBand="1"/>
      </w:tblPr>
      <w:tblGrid>
        <w:gridCol w:w="7220"/>
      </w:tblGrid>
      <w:tr w:rsidR="007D41EA" w:rsidTr="007D41EA">
        <w:trPr>
          <w:tblCellSpacing w:w="0" w:type="dxa"/>
          <w:jc w:val="center"/>
        </w:trPr>
        <w:tc>
          <w:tcPr>
            <w:tcW w:w="0" w:type="auto"/>
            <w:hideMark/>
          </w:tcPr>
          <w:tbl>
            <w:tblPr>
              <w:tblW w:w="7200" w:type="dxa"/>
              <w:tblCellSpacing w:w="0" w:type="dxa"/>
              <w:tblCellMar>
                <w:left w:w="0" w:type="dxa"/>
                <w:right w:w="0" w:type="dxa"/>
              </w:tblCellMar>
              <w:tblLook w:val="04A0" w:firstRow="1" w:lastRow="0" w:firstColumn="1" w:lastColumn="0" w:noHBand="0" w:noVBand="1"/>
            </w:tblPr>
            <w:tblGrid>
              <w:gridCol w:w="4680"/>
              <w:gridCol w:w="80"/>
              <w:gridCol w:w="60"/>
              <w:gridCol w:w="2400"/>
            </w:tblGrid>
            <w:tr w:rsidR="007D41EA">
              <w:trPr>
                <w:tblCellSpacing w:w="0" w:type="dxa"/>
              </w:trPr>
              <w:tc>
                <w:tcPr>
                  <w:tcW w:w="4680" w:type="dxa"/>
                  <w:hideMark/>
                </w:tcPr>
                <w:tbl>
                  <w:tblPr>
                    <w:tblW w:w="4680" w:type="dxa"/>
                    <w:tblCellSpacing w:w="0" w:type="dxa"/>
                    <w:tblCellMar>
                      <w:left w:w="0" w:type="dxa"/>
                      <w:right w:w="0" w:type="dxa"/>
                    </w:tblCellMar>
                    <w:tblLook w:val="04A0" w:firstRow="1" w:lastRow="0" w:firstColumn="1" w:lastColumn="0" w:noHBand="0" w:noVBand="1"/>
                  </w:tblPr>
                  <w:tblGrid>
                    <w:gridCol w:w="4680"/>
                  </w:tblGrid>
                  <w:tr w:rsidR="007D41EA">
                    <w:trPr>
                      <w:tblCellSpacing w:w="0" w:type="dxa"/>
                    </w:trPr>
                    <w:tc>
                      <w:tcPr>
                        <w:tcW w:w="0" w:type="auto"/>
                        <w:shd w:val="clear" w:color="auto" w:fill="231D5D"/>
                        <w:tcMar>
                          <w:top w:w="36" w:type="dxa"/>
                          <w:left w:w="36" w:type="dxa"/>
                          <w:bottom w:w="36" w:type="dxa"/>
                          <w:right w:w="36" w:type="dxa"/>
                        </w:tcMar>
                        <w:hideMark/>
                      </w:tcPr>
                      <w:p w:rsidR="007D41EA" w:rsidRDefault="007D41EA">
                        <w:r>
                          <w:rPr>
                            <w:rStyle w:val="Strong"/>
                            <w:rFonts w:ascii="Arial" w:hAnsi="Arial" w:cs="Arial"/>
                            <w:color w:val="FEFEFE"/>
                            <w:sz w:val="23"/>
                            <w:szCs w:val="23"/>
                          </w:rPr>
                          <w:t> NEWEST DEVELOPMENTS</w:t>
                        </w:r>
                      </w:p>
                    </w:tc>
                  </w:tr>
                  <w:tr w:rsidR="007D41EA">
                    <w:trPr>
                      <w:tblCellSpacing w:w="0" w:type="dxa"/>
                    </w:trPr>
                    <w:tc>
                      <w:tcPr>
                        <w:tcW w:w="0" w:type="auto"/>
                        <w:tcMar>
                          <w:top w:w="36" w:type="dxa"/>
                          <w:left w:w="36" w:type="dxa"/>
                          <w:bottom w:w="36" w:type="dxa"/>
                          <w:right w:w="36" w:type="dxa"/>
                        </w:tcMar>
                        <w:hideMark/>
                      </w:tcPr>
                      <w:tbl>
                        <w:tblPr>
                          <w:tblW w:w="4608" w:type="dxa"/>
                          <w:tblCellSpacing w:w="0" w:type="dxa"/>
                          <w:tblCellMar>
                            <w:left w:w="0" w:type="dxa"/>
                            <w:right w:w="0" w:type="dxa"/>
                          </w:tblCellMar>
                          <w:tblLook w:val="04A0" w:firstRow="1" w:lastRow="0" w:firstColumn="1" w:lastColumn="0" w:noHBand="0" w:noVBand="1"/>
                        </w:tblPr>
                        <w:tblGrid>
                          <w:gridCol w:w="4608"/>
                        </w:tblGrid>
                        <w:tr w:rsidR="007D41EA">
                          <w:trPr>
                            <w:tblCellSpacing w:w="0" w:type="dxa"/>
                          </w:trPr>
                          <w:tc>
                            <w:tcPr>
                              <w:tcW w:w="0" w:type="auto"/>
                              <w:tcMar>
                                <w:top w:w="36" w:type="dxa"/>
                                <w:left w:w="36" w:type="dxa"/>
                                <w:bottom w:w="36" w:type="dxa"/>
                                <w:right w:w="36" w:type="dxa"/>
                              </w:tcMar>
                              <w:hideMark/>
                            </w:tcPr>
                            <w:p w:rsidR="007D41EA" w:rsidRDefault="007D41EA">
                              <w:r>
                                <w:rPr>
                                  <w:rStyle w:val="Strong"/>
                                  <w:rFonts w:ascii="Arial" w:hAnsi="Arial" w:cs="Arial"/>
                                  <w:color w:val="71904C"/>
                                  <w:sz w:val="18"/>
                                  <w:szCs w:val="18"/>
                                </w:rPr>
                                <w:t>Pensions</w:t>
                              </w:r>
                              <w:r>
                                <w:br/>
                              </w:r>
                              <w:r>
                                <w:rPr>
                                  <w:rStyle w:val="Strong"/>
                                  <w:rFonts w:ascii="Arial" w:hAnsi="Arial" w:cs="Arial"/>
                                  <w:color w:val="231D5D"/>
                                  <w:sz w:val="23"/>
                                  <w:szCs w:val="23"/>
                                </w:rPr>
                                <w:t>IRS, Treasury to Prohibit Lump Sum Pension Buyouts</w:t>
                              </w:r>
                              <w:r>
                                <w:br/>
                              </w:r>
                              <w:r>
                                <w:rPr>
                                  <w:rFonts w:ascii="Arial" w:hAnsi="Arial" w:cs="Arial"/>
                                  <w:color w:val="000000"/>
                                  <w:sz w:val="18"/>
                                  <w:szCs w:val="18"/>
                                </w:rPr>
                                <w:t>The IRS and Treasury department have announced their intention to amend the IRC Section 401(a</w:t>
                              </w:r>
                              <w:proofErr w:type="gramStart"/>
                              <w:r>
                                <w:rPr>
                                  <w:rFonts w:ascii="Arial" w:hAnsi="Arial" w:cs="Arial"/>
                                  <w:color w:val="000000"/>
                                  <w:sz w:val="18"/>
                                  <w:szCs w:val="18"/>
                                </w:rPr>
                                <w:t>)(</w:t>
                              </w:r>
                              <w:proofErr w:type="gramEnd"/>
                              <w:r>
                                <w:rPr>
                                  <w:rFonts w:ascii="Arial" w:hAnsi="Arial" w:cs="Arial"/>
                                  <w:color w:val="000000"/>
                                  <w:sz w:val="18"/>
                                  <w:szCs w:val="18"/>
                                </w:rPr>
                                <w:t>9) required minimum distribution rules in order to prohibit most defined benefit pension plan sponsors from offering lump sum payments as an alternative to annuity payouts fo</w:t>
                              </w:r>
                              <w:r>
                                <w:rPr>
                                  <w:rFonts w:ascii="Arial" w:hAnsi="Arial" w:cs="Arial"/>
                                  <w:color w:val="000000"/>
                                  <w:sz w:val="18"/>
                                  <w:szCs w:val="18"/>
                                </w:rPr>
                                <w:t xml:space="preserve">r plan participants. </w:t>
                              </w:r>
                              <w:r>
                                <w:rPr>
                                  <w:rFonts w:ascii="Arial" w:hAnsi="Arial" w:cs="Arial"/>
                                  <w:color w:val="000000"/>
                                  <w:sz w:val="18"/>
                                  <w:szCs w:val="18"/>
                                </w:rPr>
                                <w:t>  </w:t>
                              </w:r>
                              <w:hyperlink r:id="rId5" w:tgtFrame="_blank" w:history="1">
                                <w:r>
                                  <w:rPr>
                                    <w:rStyle w:val="Hyperlink"/>
                                    <w:rFonts w:ascii="Arial" w:hAnsi="Arial" w:cs="Arial"/>
                                    <w:color w:val="71904C"/>
                                    <w:sz w:val="18"/>
                                    <w:szCs w:val="18"/>
                                  </w:rPr>
                                  <w:t>Read More</w:t>
                                </w:r>
                              </w:hyperlink>
                            </w:p>
                          </w:tc>
                        </w:tr>
                        <w:tr w:rsidR="007D41EA">
                          <w:trPr>
                            <w:tblCellSpacing w:w="0" w:type="dxa"/>
                          </w:trPr>
                          <w:tc>
                            <w:tcPr>
                              <w:tcW w:w="0" w:type="auto"/>
                              <w:tcMar>
                                <w:top w:w="36" w:type="dxa"/>
                                <w:left w:w="36" w:type="dxa"/>
                                <w:bottom w:w="36" w:type="dxa"/>
                                <w:right w:w="36" w:type="dxa"/>
                              </w:tcMar>
                              <w:hideMark/>
                            </w:tcPr>
                            <w:p w:rsidR="007D41EA" w:rsidRDefault="007D41EA">
                              <w:r>
                                <w:t> </w:t>
                              </w:r>
                            </w:p>
                          </w:tc>
                        </w:tr>
                        <w:tr w:rsidR="007D41EA">
                          <w:trPr>
                            <w:tblCellSpacing w:w="0" w:type="dxa"/>
                          </w:trPr>
                          <w:tc>
                            <w:tcPr>
                              <w:tcW w:w="0" w:type="auto"/>
                              <w:tcMar>
                                <w:top w:w="36" w:type="dxa"/>
                                <w:left w:w="36" w:type="dxa"/>
                                <w:bottom w:w="36" w:type="dxa"/>
                                <w:right w:w="36" w:type="dxa"/>
                              </w:tcMar>
                              <w:hideMark/>
                            </w:tcPr>
                            <w:p w:rsidR="007D41EA" w:rsidRDefault="007D41EA">
                              <w:r>
                                <w:rPr>
                                  <w:rStyle w:val="Strong"/>
                                  <w:rFonts w:ascii="Arial" w:hAnsi="Arial" w:cs="Arial"/>
                                  <w:color w:val="71904C"/>
                                  <w:sz w:val="18"/>
                                  <w:szCs w:val="18"/>
                                </w:rPr>
                                <w:t>Affordable Care Act</w:t>
                              </w:r>
                              <w:r>
                                <w:br/>
                              </w:r>
                              <w:r>
                                <w:rPr>
                                  <w:rStyle w:val="Strong"/>
                                  <w:rFonts w:ascii="Arial" w:hAnsi="Arial" w:cs="Arial"/>
                                  <w:color w:val="231D5D"/>
                                  <w:sz w:val="23"/>
                                  <w:szCs w:val="23"/>
                                </w:rPr>
                                <w:t>Mid-Sized Employers Have Additional Time to Comply With ACA Employer Mandate</w:t>
                              </w:r>
                              <w:r>
                                <w:br/>
                              </w:r>
                              <w:r>
                                <w:rPr>
                                  <w:rFonts w:ascii="Arial" w:hAnsi="Arial" w:cs="Arial"/>
                                  <w:color w:val="000000"/>
                                  <w:sz w:val="18"/>
                                  <w:szCs w:val="18"/>
                                </w:rPr>
                                <w:t>Many applicable large employers who employ 50 or more full-time employees will not be required to comply with the ACA employer mandate until January 1, 2016, if the employer employs between 50 and 99 full-time employees. These mid-sized employers who currently offer health coverage on a non-calendar year basis may have even more time to comply</w:t>
                              </w:r>
                              <w:r>
                                <w:rPr>
                                  <w:rFonts w:ascii="Arial" w:hAnsi="Arial" w:cs="Arial"/>
                                  <w:color w:val="000000"/>
                                  <w:sz w:val="18"/>
                                  <w:szCs w:val="18"/>
                                </w:rPr>
                                <w:t xml:space="preserve">. </w:t>
                              </w:r>
                              <w:r>
                                <w:rPr>
                                  <w:rFonts w:ascii="Arial" w:hAnsi="Arial" w:cs="Arial"/>
                                  <w:color w:val="000000"/>
                                  <w:sz w:val="18"/>
                                  <w:szCs w:val="18"/>
                                </w:rPr>
                                <w:t>  </w:t>
                              </w:r>
                              <w:hyperlink r:id="rId6" w:tgtFrame="_blank" w:history="1">
                                <w:r>
                                  <w:rPr>
                                    <w:rStyle w:val="Hyperlink"/>
                                    <w:rFonts w:ascii="Arial" w:hAnsi="Arial" w:cs="Arial"/>
                                    <w:color w:val="71904C"/>
                                    <w:sz w:val="18"/>
                                    <w:szCs w:val="18"/>
                                  </w:rPr>
                                  <w:t>Read More</w:t>
                                </w:r>
                              </w:hyperlink>
                            </w:p>
                          </w:tc>
                        </w:tr>
                        <w:tr w:rsidR="007D41EA">
                          <w:trPr>
                            <w:tblCellSpacing w:w="0" w:type="dxa"/>
                          </w:trPr>
                          <w:tc>
                            <w:tcPr>
                              <w:tcW w:w="0" w:type="auto"/>
                              <w:tcMar>
                                <w:top w:w="36" w:type="dxa"/>
                                <w:left w:w="36" w:type="dxa"/>
                                <w:bottom w:w="36" w:type="dxa"/>
                                <w:right w:w="36" w:type="dxa"/>
                              </w:tcMar>
                              <w:hideMark/>
                            </w:tcPr>
                            <w:p w:rsidR="007D41EA" w:rsidRDefault="007D41EA">
                              <w:r>
                                <w:t> </w:t>
                              </w:r>
                            </w:p>
                          </w:tc>
                        </w:tr>
                        <w:tr w:rsidR="007D41EA">
                          <w:trPr>
                            <w:tblCellSpacing w:w="0" w:type="dxa"/>
                          </w:trPr>
                          <w:tc>
                            <w:tcPr>
                              <w:tcW w:w="0" w:type="auto"/>
                              <w:tcMar>
                                <w:top w:w="36" w:type="dxa"/>
                                <w:left w:w="36" w:type="dxa"/>
                                <w:bottom w:w="36" w:type="dxa"/>
                                <w:right w:w="36" w:type="dxa"/>
                              </w:tcMar>
                              <w:hideMark/>
                            </w:tcPr>
                            <w:p w:rsidR="007D41EA" w:rsidRDefault="007D41EA">
                              <w:r>
                                <w:rPr>
                                  <w:rStyle w:val="Strong"/>
                                  <w:rFonts w:ascii="Arial" w:hAnsi="Arial" w:cs="Arial"/>
                                  <w:color w:val="71904C"/>
                                  <w:sz w:val="18"/>
                                  <w:szCs w:val="18"/>
                                </w:rPr>
                                <w:t>Qualified Plans</w:t>
                              </w:r>
                              <w:r>
                                <w:br/>
                              </w:r>
                              <w:r>
                                <w:rPr>
                                  <w:rStyle w:val="Strong"/>
                                  <w:rFonts w:ascii="Arial" w:hAnsi="Arial" w:cs="Arial"/>
                                  <w:color w:val="231D5D"/>
                                  <w:sz w:val="23"/>
                                  <w:szCs w:val="23"/>
                                </w:rPr>
                                <w:t>Tax Court Finds Hardship Distributions Subject to Penalty Tax</w:t>
                              </w:r>
                              <w:r>
                                <w:br/>
                              </w:r>
                              <w:r>
                                <w:rPr>
                                  <w:rFonts w:ascii="Arial" w:hAnsi="Arial" w:cs="Arial"/>
                                  <w:color w:val="000000"/>
                                  <w:sz w:val="18"/>
                                  <w:szCs w:val="18"/>
                                </w:rPr>
                                <w:t xml:space="preserve">The Tax Court in </w:t>
                              </w:r>
                              <w:r>
                                <w:rPr>
                                  <w:rStyle w:val="Emphasis"/>
                                  <w:rFonts w:ascii="Arial" w:hAnsi="Arial" w:cs="Arial"/>
                                  <w:color w:val="000000"/>
                                  <w:sz w:val="18"/>
                                  <w:szCs w:val="18"/>
                                </w:rPr>
                                <w:t>Preston L. Kott v. Commissioner</w:t>
                              </w:r>
                              <w:r>
                                <w:rPr>
                                  <w:rFonts w:ascii="Arial" w:hAnsi="Arial" w:cs="Arial"/>
                                  <w:color w:val="000000"/>
                                  <w:sz w:val="18"/>
                                  <w:szCs w:val="18"/>
                                </w:rPr>
                                <w:t xml:space="preserve"> TC Summary Opinion 2015-42 recently found that hardship distributions made from a taxpayer's 401(k) plan in order to avoid foreclosure on a principal residence were subject to a 10 percent penalty tax under IRC Section 72(</w:t>
                              </w:r>
                              <w:r>
                                <w:rPr>
                                  <w:rFonts w:ascii="Arial" w:hAnsi="Arial" w:cs="Arial"/>
                                  <w:color w:val="000000"/>
                                  <w:sz w:val="18"/>
                                  <w:szCs w:val="18"/>
                                </w:rPr>
                                <w:t xml:space="preserve">t)(1). </w:t>
                              </w:r>
                              <w:bookmarkStart w:id="0" w:name="_GoBack"/>
                              <w:bookmarkEnd w:id="0"/>
                              <w:r>
                                <w:rPr>
                                  <w:rFonts w:ascii="Arial" w:hAnsi="Arial" w:cs="Arial"/>
                                  <w:color w:val="000000"/>
                                  <w:sz w:val="18"/>
                                  <w:szCs w:val="18"/>
                                </w:rPr>
                                <w:t>  </w:t>
                              </w:r>
                              <w:hyperlink r:id="rId7" w:tgtFrame="_blank" w:history="1">
                                <w:r>
                                  <w:rPr>
                                    <w:rStyle w:val="Hyperlink"/>
                                    <w:rFonts w:ascii="Arial" w:hAnsi="Arial" w:cs="Arial"/>
                                    <w:color w:val="71904C"/>
                                    <w:sz w:val="18"/>
                                    <w:szCs w:val="18"/>
                                  </w:rPr>
                                  <w:t>Read More</w:t>
                                </w:r>
                              </w:hyperlink>
                            </w:p>
                          </w:tc>
                        </w:tr>
                      </w:tbl>
                      <w:p w:rsidR="007D41EA" w:rsidRDefault="007D41EA">
                        <w:pPr>
                          <w:rPr>
                            <w:rFonts w:eastAsia="Times New Roman"/>
                            <w:sz w:val="20"/>
                            <w:szCs w:val="20"/>
                          </w:rPr>
                        </w:pPr>
                      </w:p>
                    </w:tc>
                  </w:tr>
                  <w:tr w:rsidR="007D41EA">
                    <w:trPr>
                      <w:tblCellSpacing w:w="0" w:type="dxa"/>
                    </w:trPr>
                    <w:tc>
                      <w:tcPr>
                        <w:tcW w:w="0" w:type="auto"/>
                        <w:tcMar>
                          <w:top w:w="36" w:type="dxa"/>
                          <w:left w:w="36" w:type="dxa"/>
                          <w:bottom w:w="36" w:type="dxa"/>
                          <w:right w:w="36" w:type="dxa"/>
                        </w:tcMar>
                        <w:vAlign w:val="center"/>
                        <w:hideMark/>
                      </w:tcPr>
                      <w:p w:rsidR="007D41EA" w:rsidRDefault="007D41EA">
                        <w:r>
                          <w:t> </w:t>
                        </w:r>
                      </w:p>
                    </w:tc>
                  </w:tr>
                  <w:tr w:rsidR="007D41EA">
                    <w:trPr>
                      <w:tblCellSpacing w:w="0" w:type="dxa"/>
                    </w:trPr>
                    <w:tc>
                      <w:tcPr>
                        <w:tcW w:w="0" w:type="auto"/>
                        <w:shd w:val="clear" w:color="auto" w:fill="231D5D"/>
                        <w:tcMar>
                          <w:top w:w="36" w:type="dxa"/>
                          <w:left w:w="36" w:type="dxa"/>
                          <w:bottom w:w="36" w:type="dxa"/>
                          <w:right w:w="36" w:type="dxa"/>
                        </w:tcMar>
                        <w:hideMark/>
                      </w:tcPr>
                      <w:p w:rsidR="007D41EA" w:rsidRDefault="007D41EA">
                        <w:r>
                          <w:rPr>
                            <w:rStyle w:val="Strong"/>
                            <w:rFonts w:ascii="Arial" w:hAnsi="Arial" w:cs="Arial"/>
                            <w:color w:val="FEFEFE"/>
                            <w:sz w:val="23"/>
                            <w:szCs w:val="23"/>
                          </w:rPr>
                          <w:t> FEATURED ARTICLE</w:t>
                        </w:r>
                      </w:p>
                    </w:tc>
                  </w:tr>
                  <w:tr w:rsidR="007D41EA">
                    <w:trPr>
                      <w:tblCellSpacing w:w="0" w:type="dxa"/>
                    </w:trPr>
                    <w:tc>
                      <w:tcPr>
                        <w:tcW w:w="0" w:type="auto"/>
                        <w:tcMar>
                          <w:top w:w="36" w:type="dxa"/>
                          <w:left w:w="36" w:type="dxa"/>
                          <w:bottom w:w="36" w:type="dxa"/>
                          <w:right w:w="36" w:type="dxa"/>
                        </w:tcMar>
                        <w:hideMark/>
                      </w:tcPr>
                      <w:tbl>
                        <w:tblPr>
                          <w:tblW w:w="4608" w:type="dxa"/>
                          <w:tblCellSpacing w:w="0" w:type="dxa"/>
                          <w:tblCellMar>
                            <w:left w:w="0" w:type="dxa"/>
                            <w:right w:w="0" w:type="dxa"/>
                          </w:tblCellMar>
                          <w:tblLook w:val="04A0" w:firstRow="1" w:lastRow="0" w:firstColumn="1" w:lastColumn="0" w:noHBand="0" w:noVBand="1"/>
                        </w:tblPr>
                        <w:tblGrid>
                          <w:gridCol w:w="4608"/>
                        </w:tblGrid>
                        <w:tr w:rsidR="007D41EA">
                          <w:trPr>
                            <w:tblCellSpacing w:w="0" w:type="dxa"/>
                          </w:trPr>
                          <w:tc>
                            <w:tcPr>
                              <w:tcW w:w="0" w:type="auto"/>
                              <w:tcMar>
                                <w:top w:w="36" w:type="dxa"/>
                                <w:left w:w="36" w:type="dxa"/>
                                <w:bottom w:w="36" w:type="dxa"/>
                                <w:right w:w="36" w:type="dxa"/>
                              </w:tcMar>
                              <w:hideMark/>
                            </w:tcPr>
                            <w:p w:rsidR="007D41EA" w:rsidRDefault="007D41EA">
                              <w:r>
                                <w:rPr>
                                  <w:rStyle w:val="Strong"/>
                                  <w:rFonts w:ascii="Arial" w:hAnsi="Arial" w:cs="Arial"/>
                                  <w:color w:val="231D5D"/>
                                  <w:sz w:val="23"/>
                                  <w:szCs w:val="23"/>
                                </w:rPr>
                                <w:t>Does the QLAC Fit?—Pros and Cons of an Emerging Product</w:t>
                              </w:r>
                              <w:r>
                                <w:br/>
                              </w:r>
                              <w:r>
                                <w:rPr>
                                  <w:rFonts w:ascii="Arial" w:hAnsi="Arial" w:cs="Arial"/>
                                  <w:color w:val="000000"/>
                                  <w:sz w:val="18"/>
                                  <w:szCs w:val="18"/>
                                </w:rPr>
                                <w:t>Qualified longevity annuity contracts (QLACs) were first introduced more than three years ago, hailed as an important new tool for protecting against the risk of outliving retirement savings. Though many insurance carriers have jumped on board and now offer these products, many clients remain on the fence as to whether QLACs belong in their retirement income portfolios.  </w:t>
                              </w:r>
                              <w:hyperlink r:id="rId8" w:tgtFrame="_blank" w:history="1">
                                <w:r>
                                  <w:rPr>
                                    <w:rStyle w:val="Hyperlink"/>
                                    <w:rFonts w:ascii="Arial" w:hAnsi="Arial" w:cs="Arial"/>
                                    <w:color w:val="71904C"/>
                                    <w:sz w:val="18"/>
                                    <w:szCs w:val="18"/>
                                  </w:rPr>
                                  <w:t>Read More</w:t>
                                </w:r>
                                <w:r>
                                  <w:rPr>
                                    <w:rFonts w:ascii="Arial" w:hAnsi="Arial" w:cs="Arial"/>
                                    <w:color w:val="71904C"/>
                                    <w:sz w:val="18"/>
                                    <w:szCs w:val="18"/>
                                    <w:u w:val="single"/>
                                  </w:rPr>
                                  <w:br/>
                                </w:r>
                              </w:hyperlink>
                            </w:p>
                          </w:tc>
                        </w:tr>
                      </w:tbl>
                      <w:p w:rsidR="007D41EA" w:rsidRDefault="007D41EA">
                        <w:pPr>
                          <w:rPr>
                            <w:rFonts w:eastAsia="Times New Roman"/>
                            <w:sz w:val="20"/>
                            <w:szCs w:val="20"/>
                          </w:rPr>
                        </w:pPr>
                      </w:p>
                    </w:tc>
                  </w:tr>
                  <w:tr w:rsidR="007D41EA">
                    <w:trPr>
                      <w:tblCellSpacing w:w="0" w:type="dxa"/>
                    </w:trPr>
                    <w:tc>
                      <w:tcPr>
                        <w:tcW w:w="0" w:type="auto"/>
                        <w:tcMar>
                          <w:top w:w="36" w:type="dxa"/>
                          <w:left w:w="36" w:type="dxa"/>
                          <w:bottom w:w="36" w:type="dxa"/>
                          <w:right w:w="36" w:type="dxa"/>
                        </w:tcMar>
                        <w:vAlign w:val="center"/>
                        <w:hideMark/>
                      </w:tcPr>
                      <w:p w:rsidR="007D41EA" w:rsidRDefault="007D41EA">
                        <w:r>
                          <w:t> </w:t>
                        </w:r>
                      </w:p>
                    </w:tc>
                  </w:tr>
                </w:tbl>
                <w:p w:rsidR="007D41EA" w:rsidRDefault="007D41EA">
                  <w:pPr>
                    <w:rPr>
                      <w:rFonts w:eastAsia="Times New Roman"/>
                      <w:sz w:val="20"/>
                      <w:szCs w:val="20"/>
                    </w:rPr>
                  </w:pPr>
                </w:p>
              </w:tc>
              <w:tc>
                <w:tcPr>
                  <w:tcW w:w="0" w:type="auto"/>
                  <w:tcBorders>
                    <w:top w:val="nil"/>
                    <w:left w:val="nil"/>
                    <w:bottom w:val="nil"/>
                    <w:right w:val="single" w:sz="8" w:space="0" w:color="231D5D"/>
                  </w:tcBorders>
                  <w:hideMark/>
                </w:tcPr>
                <w:p w:rsidR="007D41EA" w:rsidRDefault="007D41EA">
                  <w:r>
                    <w:t> </w:t>
                  </w:r>
                </w:p>
              </w:tc>
              <w:tc>
                <w:tcPr>
                  <w:tcW w:w="60" w:type="dxa"/>
                  <w:vAlign w:val="center"/>
                  <w:hideMark/>
                </w:tcPr>
                <w:p w:rsidR="007D41EA" w:rsidRDefault="007D41EA">
                  <w:r>
                    <w:t> </w:t>
                  </w:r>
                </w:p>
              </w:tc>
              <w:tc>
                <w:tcPr>
                  <w:tcW w:w="2400" w:type="dxa"/>
                  <w:hideMark/>
                </w:tcPr>
                <w:tbl>
                  <w:tblPr>
                    <w:tblW w:w="2400" w:type="dxa"/>
                    <w:tblCellSpacing w:w="0" w:type="dxa"/>
                    <w:tblCellMar>
                      <w:left w:w="0" w:type="dxa"/>
                      <w:right w:w="0" w:type="dxa"/>
                    </w:tblCellMar>
                    <w:tblLook w:val="04A0" w:firstRow="1" w:lastRow="0" w:firstColumn="1" w:lastColumn="0" w:noHBand="0" w:noVBand="1"/>
                  </w:tblPr>
                  <w:tblGrid>
                    <w:gridCol w:w="2400"/>
                  </w:tblGrid>
                  <w:tr w:rsidR="007D41EA">
                    <w:trPr>
                      <w:tblCellSpacing w:w="0" w:type="dxa"/>
                    </w:trPr>
                    <w:tc>
                      <w:tcPr>
                        <w:tcW w:w="0" w:type="auto"/>
                        <w:shd w:val="clear" w:color="auto" w:fill="71904C"/>
                        <w:tcMar>
                          <w:top w:w="36" w:type="dxa"/>
                          <w:left w:w="36" w:type="dxa"/>
                          <w:bottom w:w="36" w:type="dxa"/>
                          <w:right w:w="36" w:type="dxa"/>
                        </w:tcMar>
                        <w:hideMark/>
                      </w:tcPr>
                      <w:p w:rsidR="007D41EA" w:rsidRDefault="007D41EA">
                        <w:r>
                          <w:rPr>
                            <w:rStyle w:val="Strong"/>
                            <w:rFonts w:ascii="Arial" w:hAnsi="Arial" w:cs="Arial"/>
                            <w:color w:val="FEFEFE"/>
                            <w:sz w:val="23"/>
                            <w:szCs w:val="23"/>
                          </w:rPr>
                          <w:t> About Tax Facts:</w:t>
                        </w:r>
                      </w:p>
                    </w:tc>
                  </w:tr>
                  <w:tr w:rsidR="007D41EA">
                    <w:trPr>
                      <w:tblCellSpacing w:w="0" w:type="dxa"/>
                    </w:trPr>
                    <w:tc>
                      <w:tcPr>
                        <w:tcW w:w="0" w:type="auto"/>
                        <w:tcMar>
                          <w:top w:w="36" w:type="dxa"/>
                          <w:left w:w="36" w:type="dxa"/>
                          <w:bottom w:w="36" w:type="dxa"/>
                          <w:right w:w="36" w:type="dxa"/>
                        </w:tcMar>
                        <w:hideMark/>
                      </w:tcPr>
                      <w:p w:rsidR="007D41EA" w:rsidRDefault="007D41EA">
                        <w:hyperlink r:id="rId9" w:tgtFrame="_blank" w:history="1">
                          <w:r>
                            <w:rPr>
                              <w:rStyle w:val="Hyperlink"/>
                              <w:rFonts w:ascii="Arial" w:hAnsi="Arial" w:cs="Arial"/>
                              <w:b/>
                              <w:bCs/>
                              <w:i/>
                              <w:iCs/>
                              <w:sz w:val="18"/>
                              <w:szCs w:val="18"/>
                            </w:rPr>
                            <w:t>Tax Facts Online</w:t>
                          </w:r>
                        </w:hyperlink>
                        <w:r>
                          <w:rPr>
                            <w:rFonts w:ascii="Arial" w:hAnsi="Arial" w:cs="Arial"/>
                            <w:color w:val="000000"/>
                            <w:sz w:val="18"/>
                            <w:szCs w:val="18"/>
                          </w:rPr>
                          <w:t xml:space="preserve"> is the premier practical, useful, actionable, and affordable reference on the taxation of insurance, employee benefits and investments. This advisory service provides expert guidance on hundreds of the most frequently asked client questions concerning their most important tax issues.</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i/>
                            <w:iCs/>
                            <w:color w:val="000000"/>
                            <w:sz w:val="18"/>
                            <w:szCs w:val="18"/>
                          </w:rPr>
                          <w:t>Tax Facts Intelligence Weekly</w:t>
                        </w:r>
                        <w:r>
                          <w:rPr>
                            <w:rFonts w:ascii="Arial" w:hAnsi="Arial" w:cs="Arial"/>
                            <w:color w:val="000000"/>
                            <w:sz w:val="18"/>
                            <w:szCs w:val="18"/>
                          </w:rPr>
                          <w:t xml:space="preserve"> is included as part of your subscription to </w:t>
                        </w:r>
                        <w:r>
                          <w:rPr>
                            <w:rStyle w:val="Strong"/>
                            <w:rFonts w:ascii="Arial" w:hAnsi="Arial" w:cs="Arial"/>
                            <w:i/>
                            <w:iCs/>
                            <w:color w:val="000000"/>
                            <w:sz w:val="18"/>
                            <w:szCs w:val="18"/>
                          </w:rPr>
                          <w:t>Tax Facts Online</w:t>
                        </w:r>
                        <w:r>
                          <w:rPr>
                            <w:rFonts w:ascii="Arial" w:hAnsi="Arial" w:cs="Arial"/>
                            <w:color w:val="000000"/>
                            <w:sz w:val="18"/>
                            <w:szCs w:val="18"/>
                          </w:rPr>
                          <w:t xml:space="preserve">. </w:t>
                        </w:r>
                        <w:r>
                          <w:rPr>
                            <w:rFonts w:ascii="Arial" w:hAnsi="Arial" w:cs="Arial"/>
                            <w:color w:val="000000"/>
                            <w:sz w:val="18"/>
                            <w:szCs w:val="18"/>
                          </w:rPr>
                          <w:br/>
                        </w:r>
                        <w:r>
                          <w:rPr>
                            <w:rFonts w:ascii="Arial" w:hAnsi="Arial" w:cs="Arial"/>
                            <w:color w:val="000000"/>
                            <w:sz w:val="18"/>
                            <w:szCs w:val="18"/>
                          </w:rPr>
                          <w:br/>
                        </w:r>
                        <w:r>
                          <w:rPr>
                            <w:rStyle w:val="Strong"/>
                            <w:rFonts w:ascii="Arial" w:hAnsi="Arial" w:cs="Arial"/>
                            <w:i/>
                            <w:iCs/>
                            <w:color w:val="000000"/>
                            <w:sz w:val="18"/>
                            <w:szCs w:val="18"/>
                          </w:rPr>
                          <w:t>Tax Facts</w:t>
                        </w:r>
                        <w:r>
                          <w:rPr>
                            <w:rFonts w:ascii="Arial" w:hAnsi="Arial" w:cs="Arial"/>
                            <w:color w:val="000000"/>
                            <w:sz w:val="18"/>
                            <w:szCs w:val="18"/>
                          </w:rPr>
                          <w:t xml:space="preserve">, </w:t>
                        </w:r>
                        <w:r>
                          <w:rPr>
                            <w:rStyle w:val="Strong"/>
                            <w:rFonts w:ascii="Arial" w:hAnsi="Arial" w:cs="Arial"/>
                            <w:i/>
                            <w:iCs/>
                            <w:color w:val="000000"/>
                            <w:sz w:val="18"/>
                            <w:szCs w:val="18"/>
                          </w:rPr>
                          <w:t>Tax Facts Online</w:t>
                        </w:r>
                        <w:r>
                          <w:rPr>
                            <w:rFonts w:ascii="Arial" w:hAnsi="Arial" w:cs="Arial"/>
                            <w:color w:val="000000"/>
                            <w:sz w:val="18"/>
                            <w:szCs w:val="18"/>
                          </w:rPr>
                          <w:t xml:space="preserve">, and </w:t>
                        </w:r>
                        <w:r>
                          <w:rPr>
                            <w:rStyle w:val="Strong"/>
                            <w:rFonts w:ascii="Arial" w:hAnsi="Arial" w:cs="Arial"/>
                            <w:i/>
                            <w:iCs/>
                            <w:color w:val="000000"/>
                            <w:sz w:val="18"/>
                            <w:szCs w:val="18"/>
                          </w:rPr>
                          <w:t>Tax Facts Intelligence Weekly</w:t>
                        </w:r>
                        <w:r>
                          <w:rPr>
                            <w:rFonts w:ascii="Arial" w:hAnsi="Arial" w:cs="Arial"/>
                            <w:color w:val="000000"/>
                            <w:sz w:val="18"/>
                            <w:szCs w:val="18"/>
                          </w:rPr>
                          <w:t xml:space="preserve"> are publications of The National Underwriter Company. For more information, visit </w:t>
                        </w:r>
                        <w:hyperlink r:id="rId10" w:tgtFrame="_blank" w:history="1">
                          <w:r>
                            <w:rPr>
                              <w:rStyle w:val="Hyperlink"/>
                              <w:rFonts w:ascii="Arial" w:hAnsi="Arial" w:cs="Arial"/>
                              <w:sz w:val="18"/>
                              <w:szCs w:val="18"/>
                            </w:rPr>
                            <w:t>TaxFactsOnline.com</w:t>
                          </w:r>
                        </w:hyperlink>
                        <w:r>
                          <w:rPr>
                            <w:rFonts w:ascii="Arial" w:hAnsi="Arial" w:cs="Arial"/>
                            <w:color w:val="000000"/>
                            <w:sz w:val="18"/>
                            <w:szCs w:val="18"/>
                          </w:rPr>
                          <w:t xml:space="preserve">. </w:t>
                        </w:r>
                        <w:r>
                          <w:rPr>
                            <w:rFonts w:ascii="Arial" w:hAnsi="Arial" w:cs="Arial"/>
                            <w:color w:val="000000"/>
                            <w:sz w:val="18"/>
                            <w:szCs w:val="18"/>
                          </w:rPr>
                          <w:br/>
                        </w:r>
                        <w:r>
                          <w:rPr>
                            <w:rFonts w:ascii="Arial" w:hAnsi="Arial" w:cs="Arial"/>
                            <w:color w:val="000000"/>
                            <w:sz w:val="18"/>
                            <w:szCs w:val="18"/>
                          </w:rPr>
                          <w:br/>
                          <w:t xml:space="preserve">To subscribe to </w:t>
                        </w:r>
                        <w:r>
                          <w:rPr>
                            <w:rStyle w:val="Strong"/>
                            <w:rFonts w:ascii="Arial" w:hAnsi="Arial" w:cs="Arial"/>
                            <w:i/>
                            <w:iCs/>
                            <w:color w:val="000000"/>
                            <w:sz w:val="18"/>
                            <w:szCs w:val="18"/>
                          </w:rPr>
                          <w:t>Tax Facts Online</w:t>
                        </w:r>
                        <w:r>
                          <w:rPr>
                            <w:rFonts w:ascii="Arial" w:hAnsi="Arial" w:cs="Arial"/>
                            <w:color w:val="000000"/>
                            <w:sz w:val="18"/>
                            <w:szCs w:val="18"/>
                          </w:rPr>
                          <w:t xml:space="preserve">, please contact customer service at 1-800-543-0874 or </w:t>
                        </w:r>
                        <w:hyperlink r:id="rId11" w:tgtFrame="_blank" w:history="1">
                          <w:r>
                            <w:rPr>
                              <w:rStyle w:val="Hyperlink"/>
                              <w:rFonts w:ascii="Arial" w:hAnsi="Arial" w:cs="Arial"/>
                              <w:sz w:val="18"/>
                              <w:szCs w:val="18"/>
                            </w:rPr>
                            <w:t>customerservice@nuco.com</w:t>
                          </w:r>
                        </w:hyperlink>
                        <w:r>
                          <w:rPr>
                            <w:rFonts w:ascii="Arial" w:hAnsi="Arial" w:cs="Arial"/>
                            <w:color w:val="000000"/>
                            <w:sz w:val="18"/>
                            <w:szCs w:val="18"/>
                          </w:rPr>
                          <w:t>.</w:t>
                        </w:r>
                      </w:p>
                    </w:tc>
                  </w:tr>
                  <w:tr w:rsidR="007D41EA">
                    <w:trPr>
                      <w:tblCellSpacing w:w="0" w:type="dxa"/>
                    </w:trPr>
                    <w:tc>
                      <w:tcPr>
                        <w:tcW w:w="0" w:type="auto"/>
                        <w:tcMar>
                          <w:top w:w="36" w:type="dxa"/>
                          <w:left w:w="36" w:type="dxa"/>
                          <w:bottom w:w="36" w:type="dxa"/>
                          <w:right w:w="36" w:type="dxa"/>
                        </w:tcMar>
                        <w:vAlign w:val="center"/>
                        <w:hideMark/>
                      </w:tcPr>
                      <w:p w:rsidR="007D41EA" w:rsidRDefault="007D41EA">
                        <w:r>
                          <w:t> </w:t>
                        </w:r>
                      </w:p>
                    </w:tc>
                  </w:tr>
                  <w:tr w:rsidR="007D41EA">
                    <w:trPr>
                      <w:tblCellSpacing w:w="0" w:type="dxa"/>
                    </w:trPr>
                    <w:tc>
                      <w:tcPr>
                        <w:tcW w:w="0" w:type="auto"/>
                        <w:shd w:val="clear" w:color="auto" w:fill="71904C"/>
                        <w:tcMar>
                          <w:top w:w="36" w:type="dxa"/>
                          <w:left w:w="36" w:type="dxa"/>
                          <w:bottom w:w="36" w:type="dxa"/>
                          <w:right w:w="36" w:type="dxa"/>
                        </w:tcMar>
                        <w:hideMark/>
                      </w:tcPr>
                      <w:p w:rsidR="007D41EA" w:rsidRDefault="007D41EA">
                        <w:r>
                          <w:rPr>
                            <w:rStyle w:val="Strong"/>
                            <w:rFonts w:ascii="Arial" w:hAnsi="Arial" w:cs="Arial"/>
                            <w:color w:val="FEFEFE"/>
                            <w:sz w:val="23"/>
                            <w:szCs w:val="23"/>
                          </w:rPr>
                          <w:t xml:space="preserve"> About The National </w:t>
                        </w:r>
                        <w:r>
                          <w:rPr>
                            <w:rFonts w:ascii="Arial" w:hAnsi="Arial" w:cs="Arial"/>
                            <w:b/>
                            <w:bCs/>
                            <w:color w:val="FEFEFE"/>
                            <w:sz w:val="23"/>
                            <w:szCs w:val="23"/>
                          </w:rPr>
                          <w:br/>
                        </w:r>
                        <w:r>
                          <w:rPr>
                            <w:rStyle w:val="Strong"/>
                            <w:rFonts w:ascii="Arial" w:hAnsi="Arial" w:cs="Arial"/>
                            <w:color w:val="FEFEFE"/>
                            <w:sz w:val="23"/>
                            <w:szCs w:val="23"/>
                          </w:rPr>
                          <w:t>Underwriter Company:</w:t>
                        </w:r>
                      </w:p>
                    </w:tc>
                  </w:tr>
                  <w:tr w:rsidR="007D41EA">
                    <w:trPr>
                      <w:tblCellSpacing w:w="0" w:type="dxa"/>
                    </w:trPr>
                    <w:tc>
                      <w:tcPr>
                        <w:tcW w:w="0" w:type="auto"/>
                        <w:tcMar>
                          <w:top w:w="36" w:type="dxa"/>
                          <w:left w:w="36" w:type="dxa"/>
                          <w:bottom w:w="36" w:type="dxa"/>
                          <w:right w:w="36" w:type="dxa"/>
                        </w:tcMar>
                        <w:hideMark/>
                      </w:tcPr>
                      <w:p w:rsidR="007D41EA" w:rsidRDefault="007D41EA">
                        <w:r>
                          <w:rPr>
                            <w:rFonts w:ascii="Arial" w:hAnsi="Arial" w:cs="Arial"/>
                            <w:color w:val="000000"/>
                            <w:sz w:val="18"/>
                            <w:szCs w:val="18"/>
                          </w:rPr>
                          <w:t>For over 110 years, The National Underwriter Company has been the first in line with the targeted tax, insurance, and financial planning information you need to make critical business decisions. With respected resources available in print and online, National Underwriter remains at the forefront of the evolving insurance industry, delivering the thorough and easy-to-use resources you rely on for success.</w:t>
                        </w:r>
                      </w:p>
                    </w:tc>
                  </w:tr>
                  <w:tr w:rsidR="007D41EA">
                    <w:trPr>
                      <w:tblCellSpacing w:w="0" w:type="dxa"/>
                    </w:trPr>
                    <w:tc>
                      <w:tcPr>
                        <w:tcW w:w="0" w:type="auto"/>
                        <w:tcMar>
                          <w:top w:w="36" w:type="dxa"/>
                          <w:left w:w="36" w:type="dxa"/>
                          <w:bottom w:w="36" w:type="dxa"/>
                          <w:right w:w="36" w:type="dxa"/>
                        </w:tcMar>
                        <w:hideMark/>
                      </w:tcPr>
                      <w:p w:rsidR="007D41EA" w:rsidRDefault="007D41EA">
                        <w:r>
                          <w:t> </w:t>
                        </w:r>
                      </w:p>
                    </w:tc>
                  </w:tr>
                  <w:tr w:rsidR="007D41EA">
                    <w:trPr>
                      <w:tblCellSpacing w:w="0" w:type="dxa"/>
                    </w:trPr>
                    <w:tc>
                      <w:tcPr>
                        <w:tcW w:w="0" w:type="auto"/>
                        <w:shd w:val="clear" w:color="auto" w:fill="71904C"/>
                        <w:tcMar>
                          <w:top w:w="36" w:type="dxa"/>
                          <w:left w:w="36" w:type="dxa"/>
                          <w:bottom w:w="36" w:type="dxa"/>
                          <w:right w:w="36" w:type="dxa"/>
                        </w:tcMar>
                        <w:hideMark/>
                      </w:tcPr>
                      <w:p w:rsidR="007D41EA" w:rsidRDefault="007D41EA">
                        <w:r>
                          <w:rPr>
                            <w:rStyle w:val="Strong"/>
                            <w:rFonts w:ascii="Arial" w:hAnsi="Arial" w:cs="Arial"/>
                            <w:color w:val="FEFEFE"/>
                            <w:sz w:val="23"/>
                            <w:szCs w:val="23"/>
                          </w:rPr>
                          <w:t> Maximize Your</w:t>
                        </w:r>
                        <w:r>
                          <w:rPr>
                            <w:rFonts w:ascii="Arial" w:hAnsi="Arial" w:cs="Arial"/>
                            <w:b/>
                            <w:bCs/>
                            <w:color w:val="FEFEFE"/>
                            <w:sz w:val="23"/>
                            <w:szCs w:val="23"/>
                          </w:rPr>
                          <w:br/>
                        </w:r>
                        <w:r>
                          <w:rPr>
                            <w:rStyle w:val="Strong"/>
                            <w:rFonts w:ascii="Arial" w:hAnsi="Arial" w:cs="Arial"/>
                            <w:color w:val="FEFEFE"/>
                            <w:sz w:val="23"/>
                            <w:szCs w:val="23"/>
                          </w:rPr>
                          <w:lastRenderedPageBreak/>
                          <w:t>Subscription:</w:t>
                        </w:r>
                      </w:p>
                    </w:tc>
                  </w:tr>
                  <w:tr w:rsidR="007D41EA">
                    <w:trPr>
                      <w:tblCellSpacing w:w="0" w:type="dxa"/>
                    </w:trPr>
                    <w:tc>
                      <w:tcPr>
                        <w:tcW w:w="0" w:type="auto"/>
                        <w:tcMar>
                          <w:top w:w="36" w:type="dxa"/>
                          <w:left w:w="36" w:type="dxa"/>
                          <w:bottom w:w="36" w:type="dxa"/>
                          <w:right w:w="36" w:type="dxa"/>
                        </w:tcMar>
                        <w:hideMark/>
                      </w:tcPr>
                      <w:tbl>
                        <w:tblPr>
                          <w:tblW w:w="2316" w:type="dxa"/>
                          <w:tblCellSpacing w:w="0" w:type="dxa"/>
                          <w:tblCellMar>
                            <w:left w:w="0" w:type="dxa"/>
                            <w:right w:w="0" w:type="dxa"/>
                          </w:tblCellMar>
                          <w:tblLook w:val="04A0" w:firstRow="1" w:lastRow="0" w:firstColumn="1" w:lastColumn="0" w:noHBand="0" w:noVBand="1"/>
                        </w:tblPr>
                        <w:tblGrid>
                          <w:gridCol w:w="2316"/>
                        </w:tblGrid>
                        <w:tr w:rsidR="007D41EA">
                          <w:trPr>
                            <w:tblCellSpacing w:w="0" w:type="dxa"/>
                          </w:trPr>
                          <w:tc>
                            <w:tcPr>
                              <w:tcW w:w="0" w:type="auto"/>
                              <w:tcMar>
                                <w:top w:w="36" w:type="dxa"/>
                                <w:left w:w="36" w:type="dxa"/>
                                <w:bottom w:w="36" w:type="dxa"/>
                                <w:right w:w="36" w:type="dxa"/>
                              </w:tcMar>
                              <w:vAlign w:val="center"/>
                              <w:hideMark/>
                            </w:tcPr>
                            <w:p w:rsidR="007D41EA" w:rsidRDefault="007D41EA">
                              <w:pPr>
                                <w:rPr>
                                  <w:rFonts w:eastAsia="Times New Roman"/>
                                  <w:sz w:val="20"/>
                                  <w:szCs w:val="20"/>
                                </w:rPr>
                              </w:pPr>
                            </w:p>
                          </w:tc>
                        </w:tr>
                      </w:tbl>
                      <w:p w:rsidR="007D41EA" w:rsidRDefault="007D41EA">
                        <w:r>
                          <w:rPr>
                            <w:rStyle w:val="Emphasis"/>
                            <w:rFonts w:ascii="Arial" w:hAnsi="Arial" w:cs="Arial"/>
                            <w:b/>
                            <w:bCs/>
                            <w:color w:val="000000"/>
                            <w:sz w:val="18"/>
                            <w:szCs w:val="18"/>
                          </w:rPr>
                          <w:t>Tax Facts Online</w:t>
                        </w:r>
                        <w:r>
                          <w:rPr>
                            <w:rFonts w:ascii="Arial" w:hAnsi="Arial" w:cs="Arial"/>
                            <w:color w:val="000000"/>
                            <w:sz w:val="18"/>
                            <w:szCs w:val="18"/>
                          </w:rPr>
                          <w:t xml:space="preserve"> editors regularly conduct web-based demos of the service. Feel free to contact Christine Barlow, </w:t>
                        </w:r>
                        <w:hyperlink r:id="rId12" w:tgtFrame="_blank" w:history="1">
                          <w:proofErr w:type="spellStart"/>
                          <w:r>
                            <w:rPr>
                              <w:rStyle w:val="Hyperlink"/>
                              <w:rFonts w:ascii="Arial" w:hAnsi="Arial" w:cs="Arial"/>
                              <w:sz w:val="18"/>
                              <w:szCs w:val="18"/>
                            </w:rPr>
                            <w:t>cbarlow</w:t>
                          </w:r>
                          <w:proofErr w:type="spellEnd"/>
                          <w:r>
                            <w:rPr>
                              <w:rStyle w:val="Hyperlink"/>
                              <w:rFonts w:ascii="Arial" w:hAnsi="Arial" w:cs="Arial"/>
                              <w:sz w:val="18"/>
                              <w:szCs w:val="18"/>
                            </w:rPr>
                            <w:t>@ alm.com</w:t>
                          </w:r>
                        </w:hyperlink>
                        <w:r>
                          <w:rPr>
                            <w:rFonts w:ascii="Arial" w:hAnsi="Arial" w:cs="Arial"/>
                            <w:color w:val="000000"/>
                            <w:sz w:val="18"/>
                            <w:szCs w:val="18"/>
                          </w:rPr>
                          <w:t xml:space="preserve">, to set one up! They only take 15 minutes, a small investment of time that will help you learn all that </w:t>
                        </w:r>
                        <w:r>
                          <w:rPr>
                            <w:rStyle w:val="Strong"/>
                            <w:rFonts w:ascii="Arial" w:hAnsi="Arial" w:cs="Arial"/>
                            <w:i/>
                            <w:iCs/>
                            <w:color w:val="000000"/>
                            <w:sz w:val="18"/>
                            <w:szCs w:val="18"/>
                          </w:rPr>
                          <w:t xml:space="preserve">Tax Facts Online </w:t>
                        </w:r>
                        <w:r>
                          <w:rPr>
                            <w:rFonts w:ascii="Arial" w:hAnsi="Arial" w:cs="Arial"/>
                            <w:color w:val="000000"/>
                            <w:sz w:val="18"/>
                            <w:szCs w:val="18"/>
                          </w:rPr>
                          <w:t>has to offer.</w:t>
                        </w:r>
                        <w:r>
                          <w:t xml:space="preserve"> </w:t>
                        </w:r>
                      </w:p>
                      <w:tbl>
                        <w:tblPr>
                          <w:tblW w:w="2316" w:type="dxa"/>
                          <w:tblCellSpacing w:w="0" w:type="dxa"/>
                          <w:tblCellMar>
                            <w:left w:w="0" w:type="dxa"/>
                            <w:right w:w="0" w:type="dxa"/>
                          </w:tblCellMar>
                          <w:tblLook w:val="04A0" w:firstRow="1" w:lastRow="0" w:firstColumn="1" w:lastColumn="0" w:noHBand="0" w:noVBand="1"/>
                        </w:tblPr>
                        <w:tblGrid>
                          <w:gridCol w:w="2316"/>
                        </w:tblGrid>
                        <w:tr w:rsidR="007D41EA">
                          <w:trPr>
                            <w:tblCellSpacing w:w="0" w:type="dxa"/>
                          </w:trPr>
                          <w:tc>
                            <w:tcPr>
                              <w:tcW w:w="0" w:type="auto"/>
                              <w:tcMar>
                                <w:top w:w="36" w:type="dxa"/>
                                <w:left w:w="36" w:type="dxa"/>
                                <w:bottom w:w="36" w:type="dxa"/>
                                <w:right w:w="36" w:type="dxa"/>
                              </w:tcMar>
                              <w:vAlign w:val="center"/>
                              <w:hideMark/>
                            </w:tcPr>
                            <w:p w:rsidR="007D41EA" w:rsidRDefault="007D41EA">
                              <w:pPr>
                                <w:rPr>
                                  <w:rFonts w:eastAsia="Times New Roman"/>
                                  <w:sz w:val="20"/>
                                  <w:szCs w:val="20"/>
                                </w:rPr>
                              </w:pPr>
                            </w:p>
                          </w:tc>
                        </w:tr>
                      </w:tbl>
                      <w:p w:rsidR="007D41EA" w:rsidRDefault="007D41EA">
                        <w:pPr>
                          <w:rPr>
                            <w:rFonts w:eastAsia="Times New Roman"/>
                            <w:sz w:val="20"/>
                            <w:szCs w:val="20"/>
                          </w:rPr>
                        </w:pPr>
                      </w:p>
                    </w:tc>
                  </w:tr>
                  <w:tr w:rsidR="007D41EA">
                    <w:trPr>
                      <w:tblCellSpacing w:w="0" w:type="dxa"/>
                    </w:trPr>
                    <w:tc>
                      <w:tcPr>
                        <w:tcW w:w="0" w:type="auto"/>
                        <w:tcMar>
                          <w:top w:w="36" w:type="dxa"/>
                          <w:left w:w="36" w:type="dxa"/>
                          <w:bottom w:w="36" w:type="dxa"/>
                          <w:right w:w="36" w:type="dxa"/>
                        </w:tcMar>
                        <w:hideMark/>
                      </w:tcPr>
                      <w:p w:rsidR="007D41EA" w:rsidRDefault="007D41EA">
                        <w:r>
                          <w:t> </w:t>
                        </w:r>
                      </w:p>
                    </w:tc>
                  </w:tr>
                </w:tbl>
                <w:p w:rsidR="007D41EA" w:rsidRDefault="007D41EA">
                  <w:pPr>
                    <w:rPr>
                      <w:rFonts w:eastAsia="Times New Roman"/>
                      <w:sz w:val="20"/>
                      <w:szCs w:val="20"/>
                    </w:rPr>
                  </w:pPr>
                </w:p>
              </w:tc>
            </w:tr>
            <w:tr w:rsidR="007D41EA">
              <w:trPr>
                <w:tblCellSpacing w:w="0" w:type="dxa"/>
              </w:trPr>
              <w:tc>
                <w:tcPr>
                  <w:tcW w:w="0" w:type="auto"/>
                  <w:vAlign w:val="center"/>
                  <w:hideMark/>
                </w:tcPr>
                <w:p w:rsidR="007D41EA" w:rsidRDefault="007D41EA">
                  <w:pPr>
                    <w:rPr>
                      <w:rFonts w:eastAsia="Times New Roman"/>
                      <w:sz w:val="20"/>
                      <w:szCs w:val="20"/>
                    </w:rPr>
                  </w:pPr>
                </w:p>
              </w:tc>
              <w:tc>
                <w:tcPr>
                  <w:tcW w:w="0" w:type="auto"/>
                  <w:vAlign w:val="center"/>
                  <w:hideMark/>
                </w:tcPr>
                <w:p w:rsidR="007D41EA" w:rsidRDefault="007D41EA">
                  <w:pPr>
                    <w:rPr>
                      <w:rFonts w:eastAsia="Times New Roman"/>
                      <w:sz w:val="20"/>
                      <w:szCs w:val="20"/>
                    </w:rPr>
                  </w:pPr>
                </w:p>
              </w:tc>
              <w:tc>
                <w:tcPr>
                  <w:tcW w:w="0" w:type="auto"/>
                  <w:vAlign w:val="center"/>
                  <w:hideMark/>
                </w:tcPr>
                <w:p w:rsidR="007D41EA" w:rsidRDefault="007D41EA">
                  <w:pPr>
                    <w:rPr>
                      <w:rFonts w:eastAsia="Times New Roman"/>
                      <w:sz w:val="20"/>
                      <w:szCs w:val="20"/>
                    </w:rPr>
                  </w:pPr>
                </w:p>
              </w:tc>
              <w:tc>
                <w:tcPr>
                  <w:tcW w:w="0" w:type="auto"/>
                  <w:vAlign w:val="center"/>
                  <w:hideMark/>
                </w:tcPr>
                <w:p w:rsidR="007D41EA" w:rsidRDefault="007D41EA">
                  <w:pPr>
                    <w:rPr>
                      <w:rFonts w:eastAsia="Times New Roman"/>
                      <w:sz w:val="20"/>
                      <w:szCs w:val="20"/>
                    </w:rPr>
                  </w:pPr>
                </w:p>
              </w:tc>
            </w:tr>
          </w:tbl>
          <w:p w:rsidR="007D41EA" w:rsidRDefault="007D41EA">
            <w:pPr>
              <w:rPr>
                <w:rFonts w:eastAsia="Times New Roman"/>
                <w:sz w:val="20"/>
                <w:szCs w:val="20"/>
              </w:rPr>
            </w:pPr>
          </w:p>
        </w:tc>
      </w:tr>
    </w:tbl>
    <w:p w:rsidR="007D41EA" w:rsidRDefault="007D41EA"/>
    <w:sectPr w:rsidR="007D4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EA"/>
    <w:rsid w:val="0039735A"/>
    <w:rsid w:val="00576634"/>
    <w:rsid w:val="00726CF1"/>
    <w:rsid w:val="007D41EA"/>
    <w:rsid w:val="00A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E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1EA"/>
    <w:rPr>
      <w:color w:val="0000FF"/>
      <w:u w:val="single"/>
    </w:rPr>
  </w:style>
  <w:style w:type="character" w:styleId="Strong">
    <w:name w:val="Strong"/>
    <w:basedOn w:val="DefaultParagraphFont"/>
    <w:uiPriority w:val="22"/>
    <w:qFormat/>
    <w:rsid w:val="007D41EA"/>
    <w:rPr>
      <w:b/>
      <w:bCs/>
    </w:rPr>
  </w:style>
  <w:style w:type="character" w:styleId="Emphasis">
    <w:name w:val="Emphasis"/>
    <w:basedOn w:val="DefaultParagraphFont"/>
    <w:uiPriority w:val="20"/>
    <w:qFormat/>
    <w:rsid w:val="007D41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1E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41EA"/>
    <w:rPr>
      <w:color w:val="0000FF"/>
      <w:u w:val="single"/>
    </w:rPr>
  </w:style>
  <w:style w:type="character" w:styleId="Strong">
    <w:name w:val="Strong"/>
    <w:basedOn w:val="DefaultParagraphFont"/>
    <w:uiPriority w:val="22"/>
    <w:qFormat/>
    <w:rsid w:val="007D41EA"/>
    <w:rPr>
      <w:b/>
      <w:bCs/>
    </w:rPr>
  </w:style>
  <w:style w:type="character" w:styleId="Emphasis">
    <w:name w:val="Emphasis"/>
    <w:basedOn w:val="DefaultParagraphFont"/>
    <w:uiPriority w:val="20"/>
    <w:qFormat/>
    <w:rsid w:val="007D41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4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summitbusinessmedia.com/t/5980635/180158364/788538/1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st.summitbusinessmedia.com/t/5980635/180158364/788536/140/" TargetMode="External"/><Relationship Id="rId12" Type="http://schemas.openxmlformats.org/officeDocument/2006/relationships/hyperlink" Target="mailto:cbarlow@alm.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st.summitbusinessmedia.com/t/5980635/180158364/788535/139/" TargetMode="External"/><Relationship Id="rId11" Type="http://schemas.openxmlformats.org/officeDocument/2006/relationships/hyperlink" Target="mailto:customersrvice@nuo.com" TargetMode="External"/><Relationship Id="rId5" Type="http://schemas.openxmlformats.org/officeDocument/2006/relationships/hyperlink" Target="http://list.summitbusinessmedia.com/t/5980635/180158364/788534/138/" TargetMode="External"/><Relationship Id="rId10" Type="http://schemas.openxmlformats.org/officeDocument/2006/relationships/hyperlink" Target="http://list.summitbusinessmedia.com/t/5980635/180158364/786426/143/" TargetMode="External"/><Relationship Id="rId4" Type="http://schemas.openxmlformats.org/officeDocument/2006/relationships/webSettings" Target="webSettings.xml"/><Relationship Id="rId9" Type="http://schemas.openxmlformats.org/officeDocument/2006/relationships/hyperlink" Target="http://list.summitbusinessmedia.com/t/5980635/180158364/786426/14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2015-07-29T13:18:00Z</dcterms:created>
  <dcterms:modified xsi:type="dcterms:W3CDTF">2015-07-29T13:21:00Z</dcterms:modified>
</cp:coreProperties>
</file>