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F6" w:rsidRPr="00F126F6" w:rsidRDefault="00F126F6" w:rsidP="00F126F6">
      <w:pPr>
        <w:spacing w:after="0" w:line="240" w:lineRule="auto"/>
        <w:jc w:val="center"/>
        <w:rPr>
          <w:rFonts w:eastAsia="Times New Roman" w:cs="Times New Roman"/>
          <w:b/>
          <w:bCs/>
          <w:szCs w:val="24"/>
          <w:u w:val="single"/>
        </w:rPr>
      </w:pPr>
      <w:bookmarkStart w:id="0" w:name="_GoBack"/>
      <w:r w:rsidRPr="00F126F6">
        <w:rPr>
          <w:rFonts w:eastAsia="Times New Roman" w:cs="Times New Roman"/>
          <w:b/>
          <w:bCs/>
          <w:szCs w:val="24"/>
          <w:u w:val="single"/>
        </w:rPr>
        <w:t xml:space="preserve">FC&amp;S Legal Newsletter for February </w:t>
      </w:r>
      <w:r>
        <w:rPr>
          <w:rFonts w:eastAsia="Times New Roman" w:cs="Times New Roman"/>
          <w:b/>
          <w:bCs/>
          <w:szCs w:val="24"/>
          <w:u w:val="single"/>
        </w:rPr>
        <w:t>22</w:t>
      </w:r>
      <w:r w:rsidRPr="00F126F6">
        <w:rPr>
          <w:rFonts w:eastAsia="Times New Roman" w:cs="Times New Roman"/>
          <w:b/>
          <w:bCs/>
          <w:szCs w:val="24"/>
          <w:u w:val="single"/>
        </w:rPr>
        <w:t>, 2016</w:t>
      </w:r>
    </w:p>
    <w:bookmarkEnd w:id="0"/>
    <w:p w:rsidR="00F126F6" w:rsidRPr="00F126F6" w:rsidRDefault="00F126F6" w:rsidP="00F126F6">
      <w:pPr>
        <w:tabs>
          <w:tab w:val="left" w:pos="2455"/>
        </w:tabs>
        <w:spacing w:after="0" w:line="240" w:lineRule="auto"/>
        <w:rPr>
          <w:rFonts w:eastAsia="Times New Roman" w:cs="Times New Roman"/>
          <w:b/>
          <w:bCs/>
          <w:szCs w:val="24"/>
        </w:rPr>
      </w:pPr>
      <w:r w:rsidRPr="00F126F6">
        <w:rPr>
          <w:rFonts w:eastAsia="Times New Roman" w:cs="Times New Roman"/>
          <w:b/>
          <w:bCs/>
          <w:szCs w:val="24"/>
        </w:rPr>
        <w:tab/>
      </w:r>
    </w:p>
    <w:p w:rsidR="00F126F6" w:rsidRPr="00F126F6" w:rsidRDefault="00F126F6" w:rsidP="00F126F6">
      <w:pPr>
        <w:spacing w:after="0" w:line="240" w:lineRule="auto"/>
        <w:rPr>
          <w:rFonts w:eastAsia="Times New Roman" w:cs="Times New Roman"/>
          <w:b/>
          <w:bCs/>
          <w:szCs w:val="24"/>
        </w:rPr>
      </w:pPr>
      <w:r w:rsidRPr="00F126F6">
        <w:rPr>
          <w:rFonts w:eastAsia="Times New Roman" w:cs="Times New Roman"/>
          <w:b/>
          <w:bCs/>
          <w:szCs w:val="24"/>
        </w:rPr>
        <w:t xml:space="preserve">CASE LAW </w:t>
      </w:r>
    </w:p>
    <w:p w:rsidR="00F126F6" w:rsidRPr="00F126F6" w:rsidRDefault="00F126F6" w:rsidP="00F126F6">
      <w:pPr>
        <w:shd w:val="clear" w:color="auto" w:fill="FFFFFF"/>
        <w:spacing w:after="0" w:line="240" w:lineRule="auto"/>
        <w:textAlignment w:val="baseline"/>
        <w:outlineLvl w:val="2"/>
        <w:rPr>
          <w:rFonts w:eastAsia="Times New Roman" w:cs="Times New Roman"/>
          <w:bCs/>
          <w:szCs w:val="24"/>
        </w:rPr>
      </w:pPr>
    </w:p>
    <w:p w:rsidR="00F126F6" w:rsidRPr="00F126F6" w:rsidRDefault="00F126F6" w:rsidP="00F126F6">
      <w:pPr>
        <w:shd w:val="clear" w:color="auto" w:fill="FFFFFF"/>
        <w:spacing w:after="0" w:line="240" w:lineRule="auto"/>
        <w:textAlignment w:val="baseline"/>
        <w:outlineLvl w:val="2"/>
        <w:rPr>
          <w:rFonts w:eastAsia="Times New Roman" w:cs="Times New Roman"/>
          <w:bCs/>
          <w:szCs w:val="24"/>
        </w:rPr>
      </w:pPr>
      <w:r w:rsidRPr="00F126F6">
        <w:rPr>
          <w:rFonts w:eastAsia="Times New Roman" w:cs="Times New Roman"/>
          <w:b/>
          <w:bCs/>
          <w:szCs w:val="24"/>
        </w:rPr>
        <w:t>Commercial General Liability</w:t>
      </w:r>
    </w:p>
    <w:p w:rsidR="00F126F6" w:rsidRPr="00F126F6" w:rsidRDefault="00F126F6" w:rsidP="00F126F6">
      <w:pPr>
        <w:shd w:val="clear" w:color="auto" w:fill="FFFFFF"/>
        <w:spacing w:after="0" w:line="240" w:lineRule="auto"/>
        <w:textAlignment w:val="baseline"/>
        <w:outlineLvl w:val="2"/>
        <w:rPr>
          <w:rFonts w:eastAsia="Times New Roman" w:cs="Times New Roman"/>
          <w:b/>
          <w:bCs/>
          <w:szCs w:val="24"/>
        </w:rPr>
      </w:pPr>
      <w:hyperlink r:id="rId7" w:history="1">
        <w:r w:rsidRPr="00F126F6">
          <w:rPr>
            <w:rStyle w:val="Hyperlink"/>
            <w:rFonts w:eastAsia="Times New Roman" w:cs="Times New Roman"/>
            <w:b/>
            <w:bCs/>
            <w:szCs w:val="24"/>
          </w:rPr>
          <w:t>11th Circuit: “Occurrence” Was Ambiguous and Policy Covered Dealer’s Negligent Repair of Auto Although Injury Did Not Manifest until After Coverage Period</w:t>
        </w:r>
      </w:hyperlink>
      <w:r w:rsidRPr="00F126F6">
        <w:rPr>
          <w:rFonts w:eastAsia="Times New Roman" w:cs="Times New Roman"/>
          <w:b/>
          <w:bCs/>
          <w:szCs w:val="24"/>
        </w:rPr>
        <w:t> </w:t>
      </w:r>
    </w:p>
    <w:p w:rsidR="00F126F6" w:rsidRDefault="00F126F6" w:rsidP="00F126F6">
      <w:pPr>
        <w:shd w:val="clear" w:color="auto" w:fill="FFFFFF"/>
        <w:spacing w:after="0" w:line="240" w:lineRule="auto"/>
        <w:textAlignment w:val="baseline"/>
        <w:outlineLvl w:val="2"/>
        <w:rPr>
          <w:rFonts w:eastAsia="Times New Roman" w:cs="Times New Roman"/>
          <w:bCs/>
          <w:szCs w:val="24"/>
        </w:rPr>
      </w:pPr>
      <w:r w:rsidRPr="00F126F6">
        <w:rPr>
          <w:rFonts w:eastAsia="Times New Roman" w:cs="Times New Roman"/>
          <w:bCs/>
          <w:szCs w:val="24"/>
        </w:rPr>
        <w:t>The U.S. Court of Appeals for the Eleventh Circuit, affirming a decision by the U.S. District Court for the Northern District of Georgia, has ruled that the term “occurrence” in an insurance policy issued to an auto dealership was ambiguous and that the policy covered the “occurrence” of the allegedly negligent repair that took place during the coverage period, even though injury did not manifest until after the coverage period.</w:t>
      </w:r>
      <w:r>
        <w:rPr>
          <w:rFonts w:eastAsia="Times New Roman" w:cs="Times New Roman"/>
          <w:bCs/>
          <w:szCs w:val="24"/>
        </w:rPr>
        <w:t xml:space="preserve"> </w:t>
      </w:r>
      <w:hyperlink r:id="rId8" w:history="1">
        <w:r w:rsidRPr="000220BD">
          <w:rPr>
            <w:rStyle w:val="Hyperlink"/>
            <w:rFonts w:eastAsia="Times New Roman" w:cs="Times New Roman"/>
            <w:bCs/>
            <w:szCs w:val="24"/>
          </w:rPr>
          <w:t>Read more</w:t>
        </w:r>
      </w:hyperlink>
    </w:p>
    <w:p w:rsidR="00F126F6" w:rsidRPr="00F126F6" w:rsidRDefault="00F126F6" w:rsidP="00F126F6">
      <w:pPr>
        <w:shd w:val="clear" w:color="auto" w:fill="FFFFFF"/>
        <w:spacing w:after="0" w:line="240" w:lineRule="auto"/>
        <w:textAlignment w:val="baseline"/>
        <w:outlineLvl w:val="2"/>
        <w:rPr>
          <w:rFonts w:eastAsia="Times New Roman" w:cs="Times New Roman"/>
          <w:bCs/>
          <w:szCs w:val="24"/>
        </w:rPr>
      </w:pPr>
    </w:p>
    <w:p w:rsidR="00F126F6" w:rsidRPr="00F126F6" w:rsidRDefault="00F126F6" w:rsidP="00F126F6">
      <w:pPr>
        <w:shd w:val="clear" w:color="auto" w:fill="FFFFFF"/>
        <w:spacing w:after="0" w:line="240" w:lineRule="auto"/>
        <w:textAlignment w:val="baseline"/>
        <w:outlineLvl w:val="2"/>
        <w:rPr>
          <w:rFonts w:eastAsia="Times New Roman" w:cs="Times New Roman"/>
          <w:bCs/>
          <w:szCs w:val="24"/>
        </w:rPr>
      </w:pPr>
      <w:r w:rsidRPr="00F126F6">
        <w:rPr>
          <w:rFonts w:eastAsia="Times New Roman" w:cs="Times New Roman"/>
          <w:b/>
          <w:bCs/>
          <w:szCs w:val="24"/>
        </w:rPr>
        <w:t>Homeowners Insurance</w:t>
      </w:r>
    </w:p>
    <w:p w:rsidR="00F126F6" w:rsidRPr="00F126F6" w:rsidRDefault="00F126F6" w:rsidP="00F126F6">
      <w:pPr>
        <w:shd w:val="clear" w:color="auto" w:fill="FFFFFF"/>
        <w:spacing w:after="0" w:line="240" w:lineRule="auto"/>
        <w:textAlignment w:val="baseline"/>
        <w:outlineLvl w:val="2"/>
        <w:rPr>
          <w:rFonts w:eastAsia="Times New Roman" w:cs="Times New Roman"/>
          <w:b/>
          <w:bCs/>
          <w:szCs w:val="24"/>
        </w:rPr>
      </w:pPr>
      <w:hyperlink r:id="rId9" w:history="1">
        <w:r w:rsidRPr="00F126F6">
          <w:rPr>
            <w:rStyle w:val="Hyperlink"/>
            <w:rFonts w:eastAsia="Times New Roman" w:cs="Times New Roman"/>
            <w:b/>
            <w:bCs/>
            <w:szCs w:val="24"/>
          </w:rPr>
          <w:t>Reversing Trial Court, N.Y. Appeals Court Finds No Coverage for “Collapse” Where Home Was Still Standing</w:t>
        </w:r>
      </w:hyperlink>
      <w:r w:rsidRPr="00F126F6">
        <w:rPr>
          <w:rFonts w:eastAsia="Times New Roman" w:cs="Times New Roman"/>
          <w:b/>
          <w:bCs/>
          <w:szCs w:val="24"/>
        </w:rPr>
        <w:t> </w:t>
      </w:r>
    </w:p>
    <w:p w:rsidR="00F126F6" w:rsidRPr="00F126F6" w:rsidRDefault="00F126F6" w:rsidP="00F126F6">
      <w:pPr>
        <w:shd w:val="clear" w:color="auto" w:fill="FFFFFF"/>
        <w:spacing w:after="0" w:line="240" w:lineRule="auto"/>
        <w:textAlignment w:val="baseline"/>
        <w:outlineLvl w:val="2"/>
        <w:rPr>
          <w:rFonts w:eastAsia="Times New Roman" w:cs="Times New Roman"/>
          <w:bCs/>
          <w:szCs w:val="24"/>
        </w:rPr>
      </w:pPr>
      <w:r w:rsidRPr="00F126F6">
        <w:rPr>
          <w:rFonts w:eastAsia="Times New Roman" w:cs="Times New Roman"/>
          <w:bCs/>
          <w:szCs w:val="24"/>
        </w:rPr>
        <w:t xml:space="preserve">An appellate court in New York, reversing a trial court’s decision, has ruled that a homeowners’ insurance policy that defined the term “collapse” did not provide coverage to the </w:t>
      </w:r>
      <w:proofErr w:type="spellStart"/>
      <w:r w:rsidRPr="00F126F6">
        <w:rPr>
          <w:rFonts w:eastAsia="Times New Roman" w:cs="Times New Roman"/>
          <w:bCs/>
          <w:szCs w:val="24"/>
        </w:rPr>
        <w:t>insureds</w:t>
      </w:r>
      <w:proofErr w:type="spellEnd"/>
      <w:r w:rsidRPr="00F126F6">
        <w:rPr>
          <w:rFonts w:eastAsia="Times New Roman" w:cs="Times New Roman"/>
          <w:bCs/>
          <w:szCs w:val="24"/>
        </w:rPr>
        <w:t xml:space="preserve"> where their home was still standing, notwithstanding that posts supporting a structurally important deck allegedly were damaged by hidden decay and rot. </w:t>
      </w:r>
      <w:hyperlink r:id="rId10" w:history="1">
        <w:r w:rsidRPr="000220BD">
          <w:rPr>
            <w:rStyle w:val="Hyperlink"/>
            <w:rFonts w:eastAsia="Times New Roman" w:cs="Times New Roman"/>
            <w:bCs/>
            <w:szCs w:val="24"/>
          </w:rPr>
          <w:t>Read more</w:t>
        </w:r>
      </w:hyperlink>
    </w:p>
    <w:p w:rsidR="000220BD" w:rsidRDefault="000220BD" w:rsidP="00F126F6">
      <w:pPr>
        <w:shd w:val="clear" w:color="auto" w:fill="FFFFFF"/>
        <w:spacing w:after="0" w:line="240" w:lineRule="auto"/>
        <w:textAlignment w:val="baseline"/>
        <w:outlineLvl w:val="2"/>
        <w:rPr>
          <w:rFonts w:eastAsia="Times New Roman" w:cs="Times New Roman"/>
          <w:b/>
          <w:bCs/>
          <w:szCs w:val="24"/>
        </w:rPr>
      </w:pPr>
    </w:p>
    <w:p w:rsidR="00F126F6" w:rsidRPr="00F126F6" w:rsidRDefault="00F126F6" w:rsidP="00F126F6">
      <w:pPr>
        <w:shd w:val="clear" w:color="auto" w:fill="FFFFFF"/>
        <w:spacing w:after="0" w:line="240" w:lineRule="auto"/>
        <w:textAlignment w:val="baseline"/>
        <w:outlineLvl w:val="2"/>
        <w:rPr>
          <w:rFonts w:eastAsia="Times New Roman" w:cs="Times New Roman"/>
          <w:bCs/>
          <w:szCs w:val="24"/>
        </w:rPr>
      </w:pPr>
      <w:r w:rsidRPr="00F126F6">
        <w:rPr>
          <w:rFonts w:eastAsia="Times New Roman" w:cs="Times New Roman"/>
          <w:b/>
          <w:bCs/>
          <w:szCs w:val="24"/>
        </w:rPr>
        <w:t>Excess</w:t>
      </w:r>
    </w:p>
    <w:p w:rsidR="00F126F6" w:rsidRPr="00F126F6" w:rsidRDefault="00F126F6" w:rsidP="00F126F6">
      <w:pPr>
        <w:shd w:val="clear" w:color="auto" w:fill="FFFFFF"/>
        <w:spacing w:after="0" w:line="240" w:lineRule="auto"/>
        <w:textAlignment w:val="baseline"/>
        <w:outlineLvl w:val="2"/>
        <w:rPr>
          <w:rFonts w:eastAsia="Times New Roman" w:cs="Times New Roman"/>
          <w:b/>
          <w:bCs/>
          <w:szCs w:val="24"/>
        </w:rPr>
      </w:pPr>
      <w:hyperlink r:id="rId11" w:history="1">
        <w:r w:rsidRPr="00F126F6">
          <w:rPr>
            <w:rStyle w:val="Hyperlink"/>
            <w:rFonts w:eastAsia="Times New Roman" w:cs="Times New Roman"/>
            <w:b/>
            <w:bCs/>
            <w:szCs w:val="24"/>
          </w:rPr>
          <w:t>Court Not Prepared to Rule on Boy Scouts’ Coverage Claim for Potential Sexual Abuse Lawsuits</w:t>
        </w:r>
      </w:hyperlink>
      <w:r w:rsidRPr="00F126F6">
        <w:rPr>
          <w:rFonts w:eastAsia="Times New Roman" w:cs="Times New Roman"/>
          <w:b/>
          <w:bCs/>
          <w:szCs w:val="24"/>
        </w:rPr>
        <w:t> </w:t>
      </w:r>
    </w:p>
    <w:p w:rsidR="00F126F6" w:rsidRDefault="00F126F6" w:rsidP="00F126F6">
      <w:pPr>
        <w:shd w:val="clear" w:color="auto" w:fill="FFFFFF"/>
        <w:spacing w:after="0" w:line="240" w:lineRule="auto"/>
        <w:textAlignment w:val="baseline"/>
        <w:outlineLvl w:val="2"/>
        <w:rPr>
          <w:rFonts w:eastAsia="Times New Roman" w:cs="Times New Roman"/>
          <w:bCs/>
          <w:szCs w:val="24"/>
        </w:rPr>
      </w:pPr>
      <w:r w:rsidRPr="00F126F6">
        <w:rPr>
          <w:rFonts w:eastAsia="Times New Roman" w:cs="Times New Roman"/>
          <w:bCs/>
          <w:szCs w:val="24"/>
        </w:rPr>
        <w:t xml:space="preserve">The U.S. District Court for the Northern District of Texas has rejected, as unripe, the effort of the Boy Scouts of America to obtain a declaratory judgment obligating its excess insurance carrier to pay future defense costs and indemnity payments for currently unfiled potential future lawsuits. </w:t>
      </w:r>
      <w:hyperlink r:id="rId12" w:history="1">
        <w:r w:rsidRPr="000220BD">
          <w:rPr>
            <w:rStyle w:val="Hyperlink"/>
            <w:rFonts w:eastAsia="Times New Roman" w:cs="Times New Roman"/>
            <w:bCs/>
            <w:szCs w:val="24"/>
          </w:rPr>
          <w:t>Read more</w:t>
        </w:r>
      </w:hyperlink>
    </w:p>
    <w:p w:rsidR="00F126F6" w:rsidRPr="00F126F6" w:rsidRDefault="00F126F6" w:rsidP="00F126F6">
      <w:pPr>
        <w:shd w:val="clear" w:color="auto" w:fill="FFFFFF"/>
        <w:spacing w:after="0" w:line="240" w:lineRule="auto"/>
        <w:textAlignment w:val="baseline"/>
        <w:outlineLvl w:val="2"/>
        <w:rPr>
          <w:rFonts w:eastAsia="Times New Roman" w:cs="Times New Roman"/>
          <w:bCs/>
          <w:szCs w:val="24"/>
        </w:rPr>
      </w:pPr>
    </w:p>
    <w:p w:rsidR="00F126F6" w:rsidRPr="00F126F6" w:rsidRDefault="00F126F6" w:rsidP="00F126F6">
      <w:pPr>
        <w:shd w:val="clear" w:color="auto" w:fill="FFFFFF"/>
        <w:spacing w:after="0" w:line="240" w:lineRule="auto"/>
        <w:textAlignment w:val="baseline"/>
        <w:outlineLvl w:val="2"/>
        <w:rPr>
          <w:rFonts w:eastAsia="Times New Roman" w:cs="Times New Roman"/>
          <w:bCs/>
          <w:szCs w:val="24"/>
        </w:rPr>
      </w:pPr>
      <w:r w:rsidRPr="00F126F6">
        <w:rPr>
          <w:rFonts w:eastAsia="Times New Roman" w:cs="Times New Roman"/>
          <w:b/>
          <w:bCs/>
          <w:szCs w:val="24"/>
        </w:rPr>
        <w:t>Commercial Property</w:t>
      </w:r>
    </w:p>
    <w:p w:rsidR="00F126F6" w:rsidRPr="00F126F6" w:rsidRDefault="00F126F6" w:rsidP="00F126F6">
      <w:pPr>
        <w:shd w:val="clear" w:color="auto" w:fill="FFFFFF"/>
        <w:spacing w:after="0" w:line="240" w:lineRule="auto"/>
        <w:textAlignment w:val="baseline"/>
        <w:outlineLvl w:val="2"/>
        <w:rPr>
          <w:rFonts w:eastAsia="Times New Roman" w:cs="Times New Roman"/>
          <w:b/>
          <w:bCs/>
          <w:szCs w:val="24"/>
        </w:rPr>
      </w:pPr>
      <w:hyperlink r:id="rId13" w:history="1">
        <w:r w:rsidRPr="00F126F6">
          <w:rPr>
            <w:rStyle w:val="Hyperlink"/>
            <w:rFonts w:eastAsia="Times New Roman" w:cs="Times New Roman"/>
            <w:b/>
            <w:bCs/>
            <w:szCs w:val="24"/>
          </w:rPr>
          <w:t>“Surface Water” Exclusion Encompassed Water from Natural and Man-Made Sources, Pennsylvania District Court Decides</w:t>
        </w:r>
      </w:hyperlink>
      <w:r w:rsidRPr="00F126F6">
        <w:rPr>
          <w:rFonts w:eastAsia="Times New Roman" w:cs="Times New Roman"/>
          <w:b/>
          <w:bCs/>
          <w:szCs w:val="24"/>
        </w:rPr>
        <w:t> </w:t>
      </w:r>
    </w:p>
    <w:p w:rsidR="00F126F6" w:rsidRDefault="00F126F6" w:rsidP="00F126F6">
      <w:pPr>
        <w:shd w:val="clear" w:color="auto" w:fill="FFFFFF"/>
        <w:spacing w:after="0" w:line="240" w:lineRule="auto"/>
        <w:textAlignment w:val="baseline"/>
        <w:outlineLvl w:val="2"/>
        <w:rPr>
          <w:rFonts w:eastAsia="Times New Roman" w:cs="Times New Roman"/>
          <w:bCs/>
          <w:szCs w:val="24"/>
        </w:rPr>
      </w:pPr>
      <w:r w:rsidRPr="00F126F6">
        <w:rPr>
          <w:rFonts w:eastAsia="Times New Roman" w:cs="Times New Roman"/>
          <w:bCs/>
          <w:szCs w:val="24"/>
        </w:rPr>
        <w:t xml:space="preserve">A federal district court in Pennsylvania has dismissed an insured’s breach of contract action against its insurer, finding that a “surface water” exclusion in a commercial property insurance policy encompassed water from natural sources and from man-made sources, such as a broken water main. </w:t>
      </w:r>
      <w:hyperlink r:id="rId14" w:history="1">
        <w:r w:rsidRPr="000220BD">
          <w:rPr>
            <w:rStyle w:val="Hyperlink"/>
            <w:rFonts w:eastAsia="Times New Roman" w:cs="Times New Roman"/>
            <w:bCs/>
            <w:szCs w:val="24"/>
          </w:rPr>
          <w:t>Read more</w:t>
        </w:r>
      </w:hyperlink>
    </w:p>
    <w:p w:rsidR="00F126F6" w:rsidRPr="00F126F6" w:rsidRDefault="00F126F6" w:rsidP="00F126F6">
      <w:pPr>
        <w:shd w:val="clear" w:color="auto" w:fill="FFFFFF"/>
        <w:spacing w:after="0" w:line="240" w:lineRule="auto"/>
        <w:textAlignment w:val="baseline"/>
        <w:outlineLvl w:val="2"/>
        <w:rPr>
          <w:rFonts w:eastAsia="Times New Roman" w:cs="Times New Roman"/>
          <w:bCs/>
          <w:szCs w:val="24"/>
        </w:rPr>
      </w:pPr>
    </w:p>
    <w:p w:rsidR="00F126F6" w:rsidRPr="00F126F6" w:rsidRDefault="00F126F6" w:rsidP="00F126F6">
      <w:pPr>
        <w:shd w:val="clear" w:color="auto" w:fill="FFFFFF"/>
        <w:spacing w:after="0" w:line="240" w:lineRule="auto"/>
        <w:textAlignment w:val="baseline"/>
        <w:outlineLvl w:val="2"/>
        <w:rPr>
          <w:rFonts w:eastAsia="Times New Roman" w:cs="Times New Roman"/>
          <w:bCs/>
          <w:szCs w:val="24"/>
        </w:rPr>
      </w:pPr>
      <w:r w:rsidRPr="00F126F6">
        <w:rPr>
          <w:rFonts w:eastAsia="Times New Roman" w:cs="Times New Roman"/>
          <w:bCs/>
          <w:szCs w:val="24"/>
        </w:rPr>
        <w:t>Browse </w:t>
      </w:r>
      <w:hyperlink r:id="rId15" w:history="1">
        <w:r w:rsidRPr="00F126F6">
          <w:rPr>
            <w:rFonts w:eastAsia="Times New Roman" w:cs="Times New Roman"/>
            <w:bCs/>
            <w:color w:val="0563C1"/>
            <w:szCs w:val="24"/>
            <w:u w:val="single"/>
          </w:rPr>
          <w:t>Case Law Developments</w:t>
        </w:r>
      </w:hyperlink>
    </w:p>
    <w:p w:rsidR="00F126F6" w:rsidRPr="00F126F6" w:rsidRDefault="00F126F6" w:rsidP="00F126F6">
      <w:pPr>
        <w:shd w:val="clear" w:color="auto" w:fill="FFFFFF"/>
        <w:spacing w:after="0" w:line="240" w:lineRule="auto"/>
        <w:textAlignment w:val="baseline"/>
        <w:outlineLvl w:val="2"/>
        <w:rPr>
          <w:rFonts w:eastAsia="Times New Roman" w:cs="Times New Roman"/>
          <w:b/>
          <w:bCs/>
          <w:szCs w:val="24"/>
        </w:rPr>
      </w:pPr>
    </w:p>
    <w:p w:rsidR="00F126F6" w:rsidRPr="00F126F6" w:rsidRDefault="00F126F6" w:rsidP="00F126F6">
      <w:pPr>
        <w:spacing w:after="0" w:line="240" w:lineRule="auto"/>
        <w:rPr>
          <w:rFonts w:eastAsia="Times New Roman" w:cs="Times New Roman"/>
          <w:b/>
          <w:bCs/>
          <w:szCs w:val="24"/>
        </w:rPr>
      </w:pPr>
      <w:r w:rsidRPr="00F126F6">
        <w:rPr>
          <w:rFonts w:eastAsia="Times New Roman" w:cs="Times New Roman"/>
          <w:b/>
          <w:bCs/>
          <w:szCs w:val="24"/>
        </w:rPr>
        <w:t>LEGISLATIVE/REGULATORY DEVELOPMENTS</w:t>
      </w:r>
    </w:p>
    <w:p w:rsidR="00F126F6" w:rsidRPr="00F126F6" w:rsidRDefault="00F126F6" w:rsidP="00F126F6">
      <w:pPr>
        <w:spacing w:after="0" w:line="240" w:lineRule="auto"/>
        <w:rPr>
          <w:rFonts w:eastAsia="Times New Roman" w:cs="Times New Roman"/>
          <w:szCs w:val="24"/>
        </w:rPr>
      </w:pPr>
    </w:p>
    <w:p w:rsidR="00F126F6" w:rsidRPr="00F126F6" w:rsidRDefault="00F126F6" w:rsidP="00F126F6">
      <w:pPr>
        <w:spacing w:after="0" w:line="240" w:lineRule="auto"/>
        <w:rPr>
          <w:rFonts w:eastAsia="Times New Roman" w:cs="Times New Roman"/>
          <w:szCs w:val="24"/>
        </w:rPr>
      </w:pPr>
      <w:r w:rsidRPr="00F126F6">
        <w:rPr>
          <w:rFonts w:eastAsia="Times New Roman" w:cs="Times New Roman"/>
          <w:b/>
          <w:bCs/>
          <w:szCs w:val="24"/>
        </w:rPr>
        <w:t>In the States</w:t>
      </w:r>
    </w:p>
    <w:p w:rsidR="00F126F6" w:rsidRDefault="00F126F6" w:rsidP="00F126F6">
      <w:pPr>
        <w:spacing w:after="0" w:line="240" w:lineRule="auto"/>
        <w:rPr>
          <w:rFonts w:eastAsia="Times New Roman" w:cs="Times New Roman"/>
          <w:b/>
          <w:bCs/>
          <w:szCs w:val="24"/>
        </w:rPr>
      </w:pPr>
      <w:hyperlink r:id="rId16" w:history="1">
        <w:r w:rsidRPr="00F126F6">
          <w:rPr>
            <w:rStyle w:val="Hyperlink"/>
            <w:rFonts w:eastAsia="Times New Roman" w:cs="Times New Roman"/>
            <w:b/>
            <w:bCs/>
            <w:szCs w:val="24"/>
          </w:rPr>
          <w:t>Janet Grace Named to Lead Connecticut Captive Insurance Regulatory Unit</w:t>
        </w:r>
      </w:hyperlink>
      <w:r w:rsidRPr="00F126F6">
        <w:rPr>
          <w:rFonts w:eastAsia="Times New Roman" w:cs="Times New Roman"/>
          <w:b/>
          <w:bCs/>
          <w:szCs w:val="24"/>
        </w:rPr>
        <w:t> </w:t>
      </w:r>
    </w:p>
    <w:p w:rsidR="00F126F6" w:rsidRDefault="00F126F6" w:rsidP="00F126F6">
      <w:pPr>
        <w:spacing w:after="0" w:line="240" w:lineRule="auto"/>
        <w:rPr>
          <w:rFonts w:eastAsia="Times New Roman" w:cs="Times New Roman"/>
          <w:bCs/>
          <w:szCs w:val="24"/>
        </w:rPr>
      </w:pPr>
      <w:r w:rsidRPr="00F126F6">
        <w:rPr>
          <w:rFonts w:eastAsia="Times New Roman" w:cs="Times New Roman"/>
          <w:szCs w:val="24"/>
        </w:rPr>
        <w:t>Janet Grace has been named to oversee the Connecticut Insurance Department’s captive insurance unit.</w:t>
      </w:r>
      <w:r w:rsidRPr="00F126F6">
        <w:rPr>
          <w:rFonts w:eastAsia="Times New Roman" w:cs="Times New Roman"/>
          <w:bCs/>
          <w:szCs w:val="24"/>
        </w:rPr>
        <w:t xml:space="preserve"> </w:t>
      </w:r>
      <w:hyperlink r:id="rId17" w:history="1">
        <w:r w:rsidRPr="00F126F6">
          <w:rPr>
            <w:rStyle w:val="Hyperlink"/>
            <w:rFonts w:eastAsia="Times New Roman" w:cs="Times New Roman"/>
            <w:bCs/>
            <w:szCs w:val="24"/>
          </w:rPr>
          <w:t>Read more</w:t>
        </w:r>
      </w:hyperlink>
    </w:p>
    <w:p w:rsidR="00F126F6" w:rsidRPr="00F126F6" w:rsidRDefault="00F126F6" w:rsidP="00F126F6">
      <w:pPr>
        <w:spacing w:after="0" w:line="240" w:lineRule="auto"/>
        <w:rPr>
          <w:rFonts w:eastAsia="Times New Roman" w:cs="Times New Roman"/>
          <w:szCs w:val="24"/>
        </w:rPr>
      </w:pPr>
    </w:p>
    <w:p w:rsidR="00F126F6" w:rsidRPr="00F126F6" w:rsidRDefault="00F126F6" w:rsidP="00F126F6">
      <w:pPr>
        <w:spacing w:after="0" w:line="240" w:lineRule="auto"/>
        <w:rPr>
          <w:rFonts w:eastAsia="Times New Roman" w:cs="Times New Roman"/>
          <w:szCs w:val="24"/>
        </w:rPr>
      </w:pPr>
      <w:r w:rsidRPr="00F126F6">
        <w:rPr>
          <w:rFonts w:eastAsia="Times New Roman" w:cs="Times New Roman"/>
          <w:b/>
          <w:bCs/>
          <w:szCs w:val="24"/>
        </w:rPr>
        <w:lastRenderedPageBreak/>
        <w:t>Health Insurance</w:t>
      </w:r>
    </w:p>
    <w:p w:rsidR="00F126F6" w:rsidRPr="00F126F6" w:rsidRDefault="00F126F6" w:rsidP="00F126F6">
      <w:pPr>
        <w:spacing w:after="0" w:line="240" w:lineRule="auto"/>
        <w:rPr>
          <w:rFonts w:eastAsia="Times New Roman" w:cs="Times New Roman"/>
          <w:b/>
          <w:bCs/>
          <w:szCs w:val="24"/>
        </w:rPr>
      </w:pPr>
      <w:hyperlink r:id="rId18" w:history="1">
        <w:r w:rsidRPr="00F126F6">
          <w:rPr>
            <w:rStyle w:val="Hyperlink"/>
            <w:rFonts w:eastAsia="Times New Roman" w:cs="Times New Roman"/>
            <w:b/>
            <w:bCs/>
            <w:szCs w:val="24"/>
          </w:rPr>
          <w:t>North Carolina Insurance Department to Examine Blue Cross and Blue Shield of North Carolina</w:t>
        </w:r>
      </w:hyperlink>
      <w:r w:rsidRPr="00F126F6">
        <w:rPr>
          <w:rFonts w:eastAsia="Times New Roman" w:cs="Times New Roman"/>
          <w:b/>
          <w:bCs/>
          <w:szCs w:val="24"/>
        </w:rPr>
        <w:t> </w:t>
      </w:r>
    </w:p>
    <w:p w:rsidR="00F126F6" w:rsidRDefault="00F126F6" w:rsidP="00F126F6">
      <w:pPr>
        <w:spacing w:after="0" w:line="240" w:lineRule="auto"/>
        <w:rPr>
          <w:rFonts w:eastAsia="Times New Roman" w:cs="Times New Roman"/>
          <w:bCs/>
          <w:szCs w:val="24"/>
        </w:rPr>
      </w:pPr>
      <w:r w:rsidRPr="00F126F6">
        <w:rPr>
          <w:rFonts w:eastAsia="Times New Roman" w:cs="Times New Roman"/>
          <w:szCs w:val="24"/>
        </w:rPr>
        <w:t>North Carolina Insurance Commissioner Wayne Goodwin has met with executives of Blue Cross and Blue Shield of North Carolina to discuss what he characterized as the insurer’s “ongoing payment and enrollment problems.”</w:t>
      </w:r>
      <w:r w:rsidRPr="00F126F6">
        <w:rPr>
          <w:rFonts w:eastAsia="Times New Roman" w:cs="Times New Roman"/>
          <w:bCs/>
          <w:szCs w:val="24"/>
        </w:rPr>
        <w:t xml:space="preserve"> </w:t>
      </w:r>
      <w:hyperlink r:id="rId19" w:history="1">
        <w:r w:rsidRPr="00F126F6">
          <w:rPr>
            <w:rStyle w:val="Hyperlink"/>
            <w:rFonts w:eastAsia="Times New Roman" w:cs="Times New Roman"/>
            <w:bCs/>
            <w:szCs w:val="24"/>
          </w:rPr>
          <w:t>Read more</w:t>
        </w:r>
      </w:hyperlink>
    </w:p>
    <w:p w:rsidR="00F126F6" w:rsidRPr="00F126F6" w:rsidRDefault="00F126F6" w:rsidP="00F126F6">
      <w:pPr>
        <w:spacing w:after="0" w:line="240" w:lineRule="auto"/>
        <w:rPr>
          <w:rFonts w:eastAsia="Times New Roman" w:cs="Times New Roman"/>
          <w:szCs w:val="24"/>
        </w:rPr>
      </w:pPr>
    </w:p>
    <w:p w:rsidR="00F126F6" w:rsidRPr="00F126F6" w:rsidRDefault="00F126F6" w:rsidP="00F126F6">
      <w:pPr>
        <w:spacing w:after="0" w:line="240" w:lineRule="auto"/>
        <w:rPr>
          <w:rFonts w:eastAsia="Times New Roman" w:cs="Times New Roman"/>
          <w:b/>
          <w:bCs/>
          <w:color w:val="0000FF"/>
          <w:szCs w:val="24"/>
          <w:u w:val="single"/>
        </w:rPr>
      </w:pPr>
      <w:r w:rsidRPr="00F126F6">
        <w:rPr>
          <w:rFonts w:eastAsia="Times New Roman" w:cs="Times New Roman"/>
          <w:szCs w:val="24"/>
        </w:rPr>
        <w:t>Browse </w:t>
      </w:r>
      <w:hyperlink r:id="rId20" w:history="1">
        <w:r w:rsidRPr="00F126F6">
          <w:rPr>
            <w:rFonts w:eastAsia="Times New Roman" w:cs="Times New Roman"/>
            <w:b/>
            <w:bCs/>
            <w:color w:val="0000FF"/>
            <w:szCs w:val="24"/>
            <w:u w:val="single"/>
          </w:rPr>
          <w:t>Legislative/Regulatory Developments</w:t>
        </w:r>
      </w:hyperlink>
    </w:p>
    <w:p w:rsidR="00F126F6" w:rsidRPr="00F126F6" w:rsidRDefault="00F126F6" w:rsidP="00F126F6">
      <w:pPr>
        <w:spacing w:after="0" w:line="240" w:lineRule="auto"/>
        <w:rPr>
          <w:rFonts w:eastAsia="Times New Roman" w:cs="Times New Roman"/>
          <w:szCs w:val="24"/>
        </w:rPr>
      </w:pPr>
    </w:p>
    <w:p w:rsidR="00F126F6" w:rsidRPr="00F126F6" w:rsidRDefault="00F126F6" w:rsidP="00F126F6">
      <w:pPr>
        <w:spacing w:after="0" w:line="240" w:lineRule="auto"/>
        <w:rPr>
          <w:rFonts w:eastAsia="Times New Roman" w:cs="Times New Roman"/>
          <w:b/>
          <w:bCs/>
          <w:szCs w:val="24"/>
        </w:rPr>
      </w:pPr>
      <w:r w:rsidRPr="00F126F6">
        <w:rPr>
          <w:rFonts w:eastAsia="Times New Roman" w:cs="Times New Roman"/>
          <w:b/>
          <w:bCs/>
          <w:szCs w:val="24"/>
        </w:rPr>
        <w:t>INDUSTRY NEWS</w:t>
      </w:r>
    </w:p>
    <w:p w:rsidR="00F126F6" w:rsidRDefault="00F126F6" w:rsidP="00F126F6">
      <w:pPr>
        <w:spacing w:after="0" w:line="240" w:lineRule="auto"/>
        <w:rPr>
          <w:rFonts w:eastAsia="Times New Roman" w:cs="Times New Roman"/>
          <w:bCs/>
          <w:szCs w:val="24"/>
        </w:rPr>
      </w:pPr>
    </w:p>
    <w:p w:rsidR="00F126F6" w:rsidRPr="00F126F6" w:rsidRDefault="00F126F6" w:rsidP="00F126F6">
      <w:pPr>
        <w:spacing w:after="0" w:line="240" w:lineRule="auto"/>
        <w:rPr>
          <w:rFonts w:eastAsia="Times New Roman" w:cs="Times New Roman"/>
          <w:bCs/>
          <w:szCs w:val="24"/>
        </w:rPr>
      </w:pPr>
      <w:proofErr w:type="spellStart"/>
      <w:r w:rsidRPr="000220BD">
        <w:rPr>
          <w:rFonts w:eastAsia="Times New Roman" w:cs="Times New Roman"/>
          <w:b/>
          <w:bCs/>
          <w:szCs w:val="24"/>
        </w:rPr>
        <w:t>Benefitfocus</w:t>
      </w:r>
      <w:proofErr w:type="spellEnd"/>
      <w:r w:rsidRPr="000220BD">
        <w:rPr>
          <w:rFonts w:eastAsia="Times New Roman" w:cs="Times New Roman"/>
          <w:b/>
          <w:bCs/>
          <w:szCs w:val="24"/>
        </w:rPr>
        <w:t xml:space="preserve"> Study Shows Half of Large Employers Now Offer High-Deductible Health Insurance Plans; </w:t>
      </w:r>
      <w:proofErr w:type="spellStart"/>
      <w:r w:rsidRPr="000220BD">
        <w:rPr>
          <w:rFonts w:eastAsia="Times New Roman" w:cs="Times New Roman"/>
          <w:b/>
          <w:bCs/>
          <w:szCs w:val="24"/>
        </w:rPr>
        <w:t>Millennials</w:t>
      </w:r>
      <w:proofErr w:type="spellEnd"/>
      <w:r w:rsidRPr="000220BD">
        <w:rPr>
          <w:rFonts w:eastAsia="Times New Roman" w:cs="Times New Roman"/>
          <w:b/>
          <w:bCs/>
          <w:szCs w:val="24"/>
        </w:rPr>
        <w:t xml:space="preserve"> Top Takers</w:t>
      </w:r>
      <w:r>
        <w:rPr>
          <w:rFonts w:eastAsia="Times New Roman" w:cs="Times New Roman"/>
          <w:bCs/>
          <w:szCs w:val="24"/>
        </w:rPr>
        <w:t xml:space="preserve"> </w:t>
      </w:r>
      <w:hyperlink r:id="rId21" w:history="1">
        <w:r w:rsidRPr="00F126F6">
          <w:rPr>
            <w:rStyle w:val="Hyperlink"/>
            <w:rFonts w:eastAsia="Times New Roman" w:cs="Times New Roman"/>
            <w:bCs/>
            <w:szCs w:val="24"/>
          </w:rPr>
          <w:t>Read more</w:t>
        </w:r>
      </w:hyperlink>
    </w:p>
    <w:p w:rsidR="00F126F6" w:rsidRDefault="00F126F6" w:rsidP="00F126F6">
      <w:pPr>
        <w:spacing w:after="0" w:line="240" w:lineRule="auto"/>
        <w:rPr>
          <w:rFonts w:eastAsia="Times New Roman" w:cs="Times New Roman"/>
          <w:bCs/>
          <w:szCs w:val="24"/>
        </w:rPr>
      </w:pPr>
    </w:p>
    <w:p w:rsidR="00F126F6" w:rsidRDefault="00F126F6" w:rsidP="00F126F6">
      <w:pPr>
        <w:spacing w:after="0" w:line="240" w:lineRule="auto"/>
        <w:rPr>
          <w:rFonts w:eastAsia="Times New Roman" w:cs="Times New Roman"/>
          <w:b/>
          <w:bCs/>
          <w:szCs w:val="24"/>
        </w:rPr>
      </w:pPr>
      <w:r w:rsidRPr="000220BD">
        <w:rPr>
          <w:rFonts w:eastAsia="Times New Roman" w:cs="Times New Roman"/>
          <w:b/>
          <w:bCs/>
          <w:szCs w:val="24"/>
        </w:rPr>
        <w:t xml:space="preserve">QBE North America Appoints Daniel </w:t>
      </w:r>
      <w:proofErr w:type="spellStart"/>
      <w:r w:rsidRPr="000220BD">
        <w:rPr>
          <w:rFonts w:eastAsia="Times New Roman" w:cs="Times New Roman"/>
          <w:b/>
          <w:bCs/>
          <w:szCs w:val="24"/>
        </w:rPr>
        <w:t>Franzetti</w:t>
      </w:r>
      <w:proofErr w:type="spellEnd"/>
      <w:r w:rsidRPr="000220BD">
        <w:rPr>
          <w:rFonts w:eastAsia="Times New Roman" w:cs="Times New Roman"/>
          <w:b/>
          <w:bCs/>
          <w:szCs w:val="24"/>
        </w:rPr>
        <w:t xml:space="preserve"> Chief Claims Officer</w:t>
      </w:r>
      <w:r>
        <w:rPr>
          <w:rFonts w:eastAsia="Times New Roman" w:cs="Times New Roman"/>
          <w:bCs/>
          <w:szCs w:val="24"/>
        </w:rPr>
        <w:t xml:space="preserve"> </w:t>
      </w:r>
      <w:hyperlink r:id="rId22" w:history="1">
        <w:r w:rsidRPr="00F126F6">
          <w:rPr>
            <w:rStyle w:val="Hyperlink"/>
            <w:rFonts w:eastAsia="Times New Roman" w:cs="Times New Roman"/>
            <w:bCs/>
            <w:szCs w:val="24"/>
          </w:rPr>
          <w:t>Read more</w:t>
        </w:r>
      </w:hyperlink>
      <w:r w:rsidRPr="00F126F6">
        <w:rPr>
          <w:rFonts w:eastAsia="Times New Roman" w:cs="Times New Roman"/>
          <w:b/>
          <w:bCs/>
          <w:szCs w:val="24"/>
        </w:rPr>
        <w:t xml:space="preserve"> </w:t>
      </w:r>
    </w:p>
    <w:p w:rsidR="00F126F6" w:rsidRPr="00F126F6" w:rsidRDefault="00F126F6" w:rsidP="00F126F6">
      <w:pPr>
        <w:spacing w:after="0" w:line="240" w:lineRule="auto"/>
        <w:rPr>
          <w:rFonts w:eastAsia="Times New Roman" w:cs="Times New Roman"/>
          <w:b/>
          <w:bCs/>
          <w:szCs w:val="24"/>
        </w:rPr>
      </w:pPr>
    </w:p>
    <w:p w:rsidR="00F126F6" w:rsidRDefault="00F126F6" w:rsidP="00F126F6">
      <w:pPr>
        <w:spacing w:after="0" w:line="240" w:lineRule="auto"/>
        <w:rPr>
          <w:rFonts w:eastAsia="Times New Roman" w:cs="Times New Roman"/>
          <w:b/>
          <w:bCs/>
          <w:szCs w:val="24"/>
        </w:rPr>
      </w:pPr>
      <w:r w:rsidRPr="000220BD">
        <w:rPr>
          <w:rFonts w:eastAsia="Times New Roman" w:cs="Times New Roman"/>
          <w:b/>
          <w:bCs/>
          <w:szCs w:val="24"/>
        </w:rPr>
        <w:t>Berkshire Hathaway Shareholders Meeting to Stream Live on Yahoo Finance</w:t>
      </w:r>
      <w:r>
        <w:rPr>
          <w:rFonts w:eastAsia="Times New Roman" w:cs="Times New Roman"/>
          <w:bCs/>
          <w:szCs w:val="24"/>
        </w:rPr>
        <w:t xml:space="preserve"> </w:t>
      </w:r>
      <w:hyperlink r:id="rId23" w:history="1">
        <w:r w:rsidRPr="00F126F6">
          <w:rPr>
            <w:rStyle w:val="Hyperlink"/>
            <w:rFonts w:eastAsia="Times New Roman" w:cs="Times New Roman"/>
            <w:bCs/>
            <w:szCs w:val="24"/>
          </w:rPr>
          <w:t>Read more</w:t>
        </w:r>
      </w:hyperlink>
      <w:r w:rsidRPr="00F126F6">
        <w:rPr>
          <w:rFonts w:eastAsia="Times New Roman" w:cs="Times New Roman"/>
          <w:b/>
          <w:bCs/>
          <w:szCs w:val="24"/>
        </w:rPr>
        <w:t xml:space="preserve"> </w:t>
      </w:r>
    </w:p>
    <w:p w:rsidR="00F126F6" w:rsidRPr="00F126F6" w:rsidRDefault="00F126F6" w:rsidP="00F126F6">
      <w:pPr>
        <w:spacing w:after="0" w:line="240" w:lineRule="auto"/>
        <w:rPr>
          <w:rFonts w:eastAsia="Times New Roman" w:cs="Times New Roman"/>
          <w:b/>
          <w:bCs/>
          <w:szCs w:val="24"/>
        </w:rPr>
      </w:pPr>
    </w:p>
    <w:p w:rsidR="00F126F6" w:rsidRPr="00F126F6" w:rsidRDefault="00F126F6" w:rsidP="00F126F6">
      <w:pPr>
        <w:spacing w:after="0" w:line="240" w:lineRule="auto"/>
        <w:rPr>
          <w:rFonts w:eastAsia="Times New Roman" w:cs="Times New Roman"/>
          <w:bCs/>
          <w:szCs w:val="24"/>
        </w:rPr>
      </w:pPr>
      <w:r w:rsidRPr="000220BD">
        <w:rPr>
          <w:rFonts w:eastAsia="Times New Roman" w:cs="Times New Roman"/>
          <w:b/>
          <w:bCs/>
          <w:szCs w:val="24"/>
        </w:rPr>
        <w:t xml:space="preserve">Sandy Weill Retires from Hamilton Board; Brian </w:t>
      </w:r>
      <w:proofErr w:type="spellStart"/>
      <w:r w:rsidRPr="000220BD">
        <w:rPr>
          <w:rFonts w:eastAsia="Times New Roman" w:cs="Times New Roman"/>
          <w:b/>
          <w:bCs/>
          <w:szCs w:val="24"/>
        </w:rPr>
        <w:t>Duperreault</w:t>
      </w:r>
      <w:proofErr w:type="spellEnd"/>
      <w:r w:rsidRPr="000220BD">
        <w:rPr>
          <w:rFonts w:eastAsia="Times New Roman" w:cs="Times New Roman"/>
          <w:b/>
          <w:bCs/>
          <w:szCs w:val="24"/>
        </w:rPr>
        <w:t xml:space="preserve"> Now Chairman &amp; CEO</w:t>
      </w:r>
      <w:r>
        <w:rPr>
          <w:rFonts w:eastAsia="Times New Roman" w:cs="Times New Roman"/>
          <w:bCs/>
          <w:szCs w:val="24"/>
        </w:rPr>
        <w:t xml:space="preserve"> </w:t>
      </w:r>
      <w:hyperlink r:id="rId24" w:history="1">
        <w:r w:rsidRPr="00F126F6">
          <w:rPr>
            <w:rStyle w:val="Hyperlink"/>
            <w:rFonts w:eastAsia="Times New Roman" w:cs="Times New Roman"/>
            <w:bCs/>
            <w:szCs w:val="24"/>
          </w:rPr>
          <w:t>Read more</w:t>
        </w:r>
      </w:hyperlink>
    </w:p>
    <w:p w:rsidR="00F126F6" w:rsidRDefault="00F126F6" w:rsidP="00F126F6">
      <w:pPr>
        <w:spacing w:after="0" w:line="240" w:lineRule="auto"/>
        <w:rPr>
          <w:rFonts w:eastAsia="Times New Roman" w:cs="Times New Roman"/>
          <w:bCs/>
          <w:szCs w:val="24"/>
        </w:rPr>
      </w:pPr>
    </w:p>
    <w:p w:rsidR="00F126F6" w:rsidRDefault="00F126F6" w:rsidP="00F126F6">
      <w:pPr>
        <w:spacing w:after="0" w:line="240" w:lineRule="auto"/>
        <w:rPr>
          <w:rFonts w:eastAsia="Times New Roman" w:cs="Times New Roman"/>
          <w:bCs/>
          <w:szCs w:val="24"/>
        </w:rPr>
      </w:pPr>
      <w:r w:rsidRPr="000220BD">
        <w:rPr>
          <w:rFonts w:eastAsia="Times New Roman" w:cs="Times New Roman"/>
          <w:b/>
          <w:bCs/>
          <w:szCs w:val="24"/>
        </w:rPr>
        <w:t>Professional Insurance Marketing Association Elects 20</w:t>
      </w:r>
      <w:r w:rsidRPr="000220BD">
        <w:rPr>
          <w:rFonts w:eastAsia="Times New Roman" w:cs="Times New Roman"/>
          <w:b/>
          <w:bCs/>
          <w:szCs w:val="24"/>
        </w:rPr>
        <w:t>1</w:t>
      </w:r>
      <w:r w:rsidRPr="000220BD">
        <w:rPr>
          <w:rFonts w:eastAsia="Times New Roman" w:cs="Times New Roman"/>
          <w:b/>
          <w:bCs/>
          <w:szCs w:val="24"/>
        </w:rPr>
        <w:t>6 Board of Directors</w:t>
      </w:r>
      <w:r>
        <w:rPr>
          <w:rFonts w:eastAsia="Times New Roman" w:cs="Times New Roman"/>
          <w:bCs/>
          <w:szCs w:val="24"/>
        </w:rPr>
        <w:t xml:space="preserve"> </w:t>
      </w:r>
      <w:hyperlink r:id="rId25" w:history="1">
        <w:r w:rsidRPr="00F126F6">
          <w:rPr>
            <w:rStyle w:val="Hyperlink"/>
            <w:rFonts w:eastAsia="Times New Roman" w:cs="Times New Roman"/>
            <w:bCs/>
            <w:szCs w:val="24"/>
          </w:rPr>
          <w:t>Read more</w:t>
        </w:r>
      </w:hyperlink>
    </w:p>
    <w:p w:rsidR="000220BD" w:rsidRPr="00F126F6" w:rsidRDefault="000220BD" w:rsidP="00F126F6">
      <w:pPr>
        <w:spacing w:after="0" w:line="240" w:lineRule="auto"/>
        <w:rPr>
          <w:rFonts w:eastAsia="Times New Roman" w:cs="Times New Roman"/>
          <w:bCs/>
          <w:szCs w:val="24"/>
        </w:rPr>
      </w:pPr>
    </w:p>
    <w:p w:rsidR="00F126F6" w:rsidRPr="00F126F6" w:rsidRDefault="00F126F6" w:rsidP="00F126F6">
      <w:pPr>
        <w:spacing w:after="0" w:line="240" w:lineRule="auto"/>
        <w:rPr>
          <w:rFonts w:eastAsia="Times New Roman" w:cs="Times New Roman"/>
        </w:rPr>
      </w:pPr>
      <w:r w:rsidRPr="00F126F6">
        <w:rPr>
          <w:rFonts w:eastAsia="Times New Roman" w:cs="Times New Roman"/>
          <w:bCs/>
          <w:szCs w:val="24"/>
        </w:rPr>
        <w:t>Browse</w:t>
      </w:r>
      <w:r w:rsidRPr="00F126F6">
        <w:rPr>
          <w:rFonts w:eastAsia="Times New Roman" w:cs="Times New Roman"/>
          <w:b/>
          <w:bCs/>
          <w:szCs w:val="24"/>
        </w:rPr>
        <w:t> </w:t>
      </w:r>
      <w:hyperlink r:id="rId26" w:history="1">
        <w:r w:rsidRPr="00F126F6">
          <w:rPr>
            <w:rFonts w:eastAsia="Times New Roman" w:cs="Times New Roman"/>
            <w:b/>
            <w:bCs/>
            <w:color w:val="0000FF"/>
            <w:szCs w:val="24"/>
            <w:u w:val="single"/>
          </w:rPr>
          <w:t>Industry News</w:t>
        </w:r>
      </w:hyperlink>
    </w:p>
    <w:p w:rsidR="00F126F6" w:rsidRPr="00F126F6" w:rsidRDefault="00F126F6" w:rsidP="00F126F6">
      <w:pPr>
        <w:rPr>
          <w:rFonts w:eastAsia="Calibri" w:cs="Times New Roman"/>
        </w:rPr>
      </w:pPr>
    </w:p>
    <w:p w:rsidR="00F126F6" w:rsidRPr="00F126F6" w:rsidRDefault="00F126F6" w:rsidP="00F126F6">
      <w:pPr>
        <w:rPr>
          <w:rFonts w:eastAsia="Calibri" w:cs="Times New Roman"/>
        </w:rPr>
      </w:pPr>
    </w:p>
    <w:p w:rsidR="00FF09AA" w:rsidRDefault="00FF09AA"/>
    <w:sectPr w:rsidR="00FF09AA">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98" w:rsidRDefault="00746B98" w:rsidP="00746B98">
      <w:pPr>
        <w:spacing w:after="0" w:line="240" w:lineRule="auto"/>
      </w:pPr>
      <w:r>
        <w:separator/>
      </w:r>
    </w:p>
  </w:endnote>
  <w:endnote w:type="continuationSeparator" w:id="0">
    <w:p w:rsidR="00746B98" w:rsidRDefault="00746B98" w:rsidP="0074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D86" w:rsidRDefault="00746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D86" w:rsidRDefault="00746B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D86" w:rsidRDefault="00746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98" w:rsidRDefault="00746B98" w:rsidP="00746B98">
      <w:pPr>
        <w:spacing w:after="0" w:line="240" w:lineRule="auto"/>
      </w:pPr>
      <w:r>
        <w:separator/>
      </w:r>
    </w:p>
  </w:footnote>
  <w:footnote w:type="continuationSeparator" w:id="0">
    <w:p w:rsidR="00746B98" w:rsidRDefault="00746B98" w:rsidP="00746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D86" w:rsidRDefault="00746B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D86" w:rsidRDefault="00746B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D86" w:rsidRDefault="00746B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F6"/>
    <w:rsid w:val="000220BD"/>
    <w:rsid w:val="00746B98"/>
    <w:rsid w:val="00F126F6"/>
    <w:rsid w:val="00FF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6F6"/>
    <w:pPr>
      <w:tabs>
        <w:tab w:val="center" w:pos="4680"/>
        <w:tab w:val="right" w:pos="9360"/>
      </w:tabs>
      <w:spacing w:after="0" w:line="240" w:lineRule="auto"/>
    </w:pPr>
    <w:rPr>
      <w:rFonts w:eastAsia="Calibri" w:cs="Times New Roman"/>
    </w:rPr>
  </w:style>
  <w:style w:type="character" w:customStyle="1" w:styleId="HeaderChar">
    <w:name w:val="Header Char"/>
    <w:basedOn w:val="DefaultParagraphFont"/>
    <w:link w:val="Header"/>
    <w:uiPriority w:val="99"/>
    <w:rsid w:val="00F126F6"/>
    <w:rPr>
      <w:rFonts w:eastAsia="Calibri" w:cs="Times New Roman"/>
    </w:rPr>
  </w:style>
  <w:style w:type="paragraph" w:styleId="Footer">
    <w:name w:val="footer"/>
    <w:basedOn w:val="Normal"/>
    <w:link w:val="FooterChar"/>
    <w:uiPriority w:val="99"/>
    <w:unhideWhenUsed/>
    <w:rsid w:val="00F126F6"/>
    <w:pPr>
      <w:tabs>
        <w:tab w:val="center" w:pos="4680"/>
        <w:tab w:val="right" w:pos="9360"/>
      </w:tabs>
      <w:spacing w:after="0" w:line="240" w:lineRule="auto"/>
    </w:pPr>
    <w:rPr>
      <w:rFonts w:eastAsia="Calibri" w:cs="Times New Roman"/>
    </w:rPr>
  </w:style>
  <w:style w:type="character" w:customStyle="1" w:styleId="FooterChar">
    <w:name w:val="Footer Char"/>
    <w:basedOn w:val="DefaultParagraphFont"/>
    <w:link w:val="Footer"/>
    <w:uiPriority w:val="99"/>
    <w:rsid w:val="00F126F6"/>
    <w:rPr>
      <w:rFonts w:eastAsia="Calibri" w:cs="Times New Roman"/>
    </w:rPr>
  </w:style>
  <w:style w:type="character" w:styleId="Hyperlink">
    <w:name w:val="Hyperlink"/>
    <w:basedOn w:val="DefaultParagraphFont"/>
    <w:uiPriority w:val="99"/>
    <w:unhideWhenUsed/>
    <w:rsid w:val="00F126F6"/>
    <w:rPr>
      <w:color w:val="0000FF" w:themeColor="hyperlink"/>
      <w:u w:val="single"/>
    </w:rPr>
  </w:style>
  <w:style w:type="character" w:styleId="FollowedHyperlink">
    <w:name w:val="FollowedHyperlink"/>
    <w:basedOn w:val="DefaultParagraphFont"/>
    <w:uiPriority w:val="99"/>
    <w:semiHidden/>
    <w:unhideWhenUsed/>
    <w:rsid w:val="00F126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6F6"/>
    <w:pPr>
      <w:tabs>
        <w:tab w:val="center" w:pos="4680"/>
        <w:tab w:val="right" w:pos="9360"/>
      </w:tabs>
      <w:spacing w:after="0" w:line="240" w:lineRule="auto"/>
    </w:pPr>
    <w:rPr>
      <w:rFonts w:eastAsia="Calibri" w:cs="Times New Roman"/>
    </w:rPr>
  </w:style>
  <w:style w:type="character" w:customStyle="1" w:styleId="HeaderChar">
    <w:name w:val="Header Char"/>
    <w:basedOn w:val="DefaultParagraphFont"/>
    <w:link w:val="Header"/>
    <w:uiPriority w:val="99"/>
    <w:rsid w:val="00F126F6"/>
    <w:rPr>
      <w:rFonts w:eastAsia="Calibri" w:cs="Times New Roman"/>
    </w:rPr>
  </w:style>
  <w:style w:type="paragraph" w:styleId="Footer">
    <w:name w:val="footer"/>
    <w:basedOn w:val="Normal"/>
    <w:link w:val="FooterChar"/>
    <w:uiPriority w:val="99"/>
    <w:unhideWhenUsed/>
    <w:rsid w:val="00F126F6"/>
    <w:pPr>
      <w:tabs>
        <w:tab w:val="center" w:pos="4680"/>
        <w:tab w:val="right" w:pos="9360"/>
      </w:tabs>
      <w:spacing w:after="0" w:line="240" w:lineRule="auto"/>
    </w:pPr>
    <w:rPr>
      <w:rFonts w:eastAsia="Calibri" w:cs="Times New Roman"/>
    </w:rPr>
  </w:style>
  <w:style w:type="character" w:customStyle="1" w:styleId="FooterChar">
    <w:name w:val="Footer Char"/>
    <w:basedOn w:val="DefaultParagraphFont"/>
    <w:link w:val="Footer"/>
    <w:uiPriority w:val="99"/>
    <w:rsid w:val="00F126F6"/>
    <w:rPr>
      <w:rFonts w:eastAsia="Calibri" w:cs="Times New Roman"/>
    </w:rPr>
  </w:style>
  <w:style w:type="character" w:styleId="Hyperlink">
    <w:name w:val="Hyperlink"/>
    <w:basedOn w:val="DefaultParagraphFont"/>
    <w:uiPriority w:val="99"/>
    <w:unhideWhenUsed/>
    <w:rsid w:val="00F126F6"/>
    <w:rPr>
      <w:color w:val="0000FF" w:themeColor="hyperlink"/>
      <w:u w:val="single"/>
    </w:rPr>
  </w:style>
  <w:style w:type="character" w:styleId="FollowedHyperlink">
    <w:name w:val="FollowedHyperlink"/>
    <w:basedOn w:val="DefaultParagraphFont"/>
    <w:uiPriority w:val="99"/>
    <w:semiHidden/>
    <w:unhideWhenUsed/>
    <w:rsid w:val="00F126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5204">
      <w:bodyDiv w:val="1"/>
      <w:marLeft w:val="0"/>
      <w:marRight w:val="0"/>
      <w:marTop w:val="0"/>
      <w:marBottom w:val="0"/>
      <w:divBdr>
        <w:top w:val="none" w:sz="0" w:space="0" w:color="auto"/>
        <w:left w:val="none" w:sz="0" w:space="0" w:color="auto"/>
        <w:bottom w:val="none" w:sz="0" w:space="0" w:color="auto"/>
        <w:right w:val="none" w:sz="0" w:space="0" w:color="auto"/>
      </w:divBdr>
      <w:divsChild>
        <w:div w:id="612709259">
          <w:marLeft w:val="0"/>
          <w:marRight w:val="0"/>
          <w:marTop w:val="0"/>
          <w:marBottom w:val="270"/>
          <w:divBdr>
            <w:top w:val="none" w:sz="0" w:space="0" w:color="auto"/>
            <w:left w:val="none" w:sz="0" w:space="0" w:color="auto"/>
            <w:bottom w:val="none" w:sz="0" w:space="0" w:color="auto"/>
            <w:right w:val="none" w:sz="0" w:space="0" w:color="auto"/>
          </w:divBdr>
        </w:div>
        <w:div w:id="1631326996">
          <w:marLeft w:val="0"/>
          <w:marRight w:val="0"/>
          <w:marTop w:val="0"/>
          <w:marBottom w:val="270"/>
          <w:divBdr>
            <w:top w:val="none" w:sz="0" w:space="0" w:color="auto"/>
            <w:left w:val="none" w:sz="0" w:space="0" w:color="auto"/>
            <w:bottom w:val="none" w:sz="0" w:space="0" w:color="auto"/>
            <w:right w:val="none" w:sz="0" w:space="0" w:color="auto"/>
          </w:divBdr>
        </w:div>
        <w:div w:id="30737546">
          <w:marLeft w:val="0"/>
          <w:marRight w:val="0"/>
          <w:marTop w:val="0"/>
          <w:marBottom w:val="270"/>
          <w:divBdr>
            <w:top w:val="none" w:sz="0" w:space="0" w:color="auto"/>
            <w:left w:val="none" w:sz="0" w:space="0" w:color="auto"/>
            <w:bottom w:val="none" w:sz="0" w:space="0" w:color="auto"/>
            <w:right w:val="none" w:sz="0" w:space="0" w:color="auto"/>
          </w:divBdr>
        </w:div>
        <w:div w:id="490367193">
          <w:marLeft w:val="0"/>
          <w:marRight w:val="0"/>
          <w:marTop w:val="0"/>
          <w:marBottom w:val="270"/>
          <w:divBdr>
            <w:top w:val="none" w:sz="0" w:space="0" w:color="auto"/>
            <w:left w:val="none" w:sz="0" w:space="0" w:color="auto"/>
            <w:bottom w:val="none" w:sz="0" w:space="0" w:color="auto"/>
            <w:right w:val="none" w:sz="0" w:space="0" w:color="auto"/>
          </w:divBdr>
        </w:div>
      </w:divsChild>
    </w:div>
    <w:div w:id="1574045191">
      <w:bodyDiv w:val="1"/>
      <w:marLeft w:val="0"/>
      <w:marRight w:val="0"/>
      <w:marTop w:val="0"/>
      <w:marBottom w:val="0"/>
      <w:divBdr>
        <w:top w:val="none" w:sz="0" w:space="0" w:color="auto"/>
        <w:left w:val="none" w:sz="0" w:space="0" w:color="auto"/>
        <w:bottom w:val="none" w:sz="0" w:space="0" w:color="auto"/>
        <w:right w:val="none" w:sz="0" w:space="0" w:color="auto"/>
      </w:divBdr>
      <w:divsChild>
        <w:div w:id="1315178432">
          <w:marLeft w:val="0"/>
          <w:marRight w:val="0"/>
          <w:marTop w:val="0"/>
          <w:marBottom w:val="270"/>
          <w:divBdr>
            <w:top w:val="none" w:sz="0" w:space="0" w:color="auto"/>
            <w:left w:val="none" w:sz="0" w:space="0" w:color="auto"/>
            <w:bottom w:val="none" w:sz="0" w:space="0" w:color="auto"/>
            <w:right w:val="none" w:sz="0" w:space="0" w:color="auto"/>
          </w:divBdr>
        </w:div>
        <w:div w:id="1633510683">
          <w:marLeft w:val="0"/>
          <w:marRight w:val="0"/>
          <w:marTop w:val="0"/>
          <w:marBottom w:val="270"/>
          <w:divBdr>
            <w:top w:val="none" w:sz="0" w:space="0" w:color="auto"/>
            <w:left w:val="none" w:sz="0" w:space="0" w:color="auto"/>
            <w:bottom w:val="none" w:sz="0" w:space="0" w:color="auto"/>
            <w:right w:val="none" w:sz="0" w:space="0" w:color="auto"/>
          </w:divBdr>
        </w:div>
      </w:divsChild>
    </w:div>
    <w:div w:id="2105106580">
      <w:bodyDiv w:val="1"/>
      <w:marLeft w:val="0"/>
      <w:marRight w:val="0"/>
      <w:marTop w:val="0"/>
      <w:marBottom w:val="0"/>
      <w:divBdr>
        <w:top w:val="none" w:sz="0" w:space="0" w:color="auto"/>
        <w:left w:val="none" w:sz="0" w:space="0" w:color="auto"/>
        <w:bottom w:val="none" w:sz="0" w:space="0" w:color="auto"/>
        <w:right w:val="none" w:sz="0" w:space="0" w:color="auto"/>
      </w:divBdr>
      <w:divsChild>
        <w:div w:id="264385142">
          <w:marLeft w:val="0"/>
          <w:marRight w:val="0"/>
          <w:marTop w:val="165"/>
          <w:marBottom w:val="165"/>
          <w:divBdr>
            <w:top w:val="none" w:sz="0" w:space="0" w:color="auto"/>
            <w:left w:val="none" w:sz="0" w:space="0" w:color="auto"/>
            <w:bottom w:val="none" w:sz="0" w:space="0" w:color="auto"/>
            <w:right w:val="none" w:sz="0" w:space="0" w:color="auto"/>
          </w:divBdr>
        </w:div>
        <w:div w:id="1728146350">
          <w:marLeft w:val="0"/>
          <w:marRight w:val="0"/>
          <w:marTop w:val="165"/>
          <w:marBottom w:val="165"/>
          <w:divBdr>
            <w:top w:val="none" w:sz="0" w:space="0" w:color="auto"/>
            <w:left w:val="none" w:sz="0" w:space="0" w:color="auto"/>
            <w:bottom w:val="none" w:sz="0" w:space="0" w:color="auto"/>
            <w:right w:val="none" w:sz="0" w:space="0" w:color="auto"/>
          </w:divBdr>
        </w:div>
        <w:div w:id="243073792">
          <w:marLeft w:val="0"/>
          <w:marRight w:val="0"/>
          <w:marTop w:val="165"/>
          <w:marBottom w:val="165"/>
          <w:divBdr>
            <w:top w:val="none" w:sz="0" w:space="0" w:color="auto"/>
            <w:left w:val="none" w:sz="0" w:space="0" w:color="auto"/>
            <w:bottom w:val="none" w:sz="0" w:space="0" w:color="auto"/>
            <w:right w:val="none" w:sz="0" w:space="0" w:color="auto"/>
          </w:divBdr>
        </w:div>
        <w:div w:id="525213737">
          <w:marLeft w:val="0"/>
          <w:marRight w:val="0"/>
          <w:marTop w:val="165"/>
          <w:marBottom w:val="165"/>
          <w:divBdr>
            <w:top w:val="none" w:sz="0" w:space="0" w:color="auto"/>
            <w:left w:val="none" w:sz="0" w:space="0" w:color="auto"/>
            <w:bottom w:val="none" w:sz="0" w:space="0" w:color="auto"/>
            <w:right w:val="none" w:sz="0" w:space="0" w:color="auto"/>
          </w:divBdr>
        </w:div>
        <w:div w:id="1281301509">
          <w:marLeft w:val="0"/>
          <w:marRight w:val="0"/>
          <w:marTop w:val="165"/>
          <w:marBottom w:val="16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andslegal.com/2016/02/18/11th-circuit-occurrence-was-ambiguous-and-policy-c" TargetMode="External"/><Relationship Id="rId13" Type="http://schemas.openxmlformats.org/officeDocument/2006/relationships/hyperlink" Target="http://www.fcandslegal.com/2016/02/18/surface-water-exclusion-encompassed-water-from-nat" TargetMode="External"/><Relationship Id="rId18" Type="http://schemas.openxmlformats.org/officeDocument/2006/relationships/hyperlink" Target="http://www.fcandslegal.com/2016/02/18/north-carolina-insurance-department-to-examine-blu" TargetMode="External"/><Relationship Id="rId26" Type="http://schemas.openxmlformats.org/officeDocument/2006/relationships/hyperlink" Target="http://www.fcandslegal.com/industry-news" TargetMode="External"/><Relationship Id="rId3" Type="http://schemas.openxmlformats.org/officeDocument/2006/relationships/settings" Target="settings.xml"/><Relationship Id="rId21" Type="http://schemas.openxmlformats.org/officeDocument/2006/relationships/hyperlink" Target="http://www.fcandslegal.com/2016/02/18/benefitfocus-study-shows-half-of-large-employers-n" TargetMode="External"/><Relationship Id="rId34" Type="http://schemas.openxmlformats.org/officeDocument/2006/relationships/theme" Target="theme/theme1.xml"/><Relationship Id="rId7" Type="http://schemas.openxmlformats.org/officeDocument/2006/relationships/hyperlink" Target="http://www.fcandslegal.com/2016/02/18/11th-circuit-occurrence-was-ambiguous-and-policy-c" TargetMode="External"/><Relationship Id="rId12" Type="http://schemas.openxmlformats.org/officeDocument/2006/relationships/hyperlink" Target="http://www.fcandslegal.com/2016/02/18/court-not-prepared-to-rule-on-boy-scouts-coverage" TargetMode="External"/><Relationship Id="rId17" Type="http://schemas.openxmlformats.org/officeDocument/2006/relationships/hyperlink" Target="http://www.fcandslegal.com/2016/02/18/janet-grace-named-to-lead-connecticut-captive-insu" TargetMode="External"/><Relationship Id="rId25" Type="http://schemas.openxmlformats.org/officeDocument/2006/relationships/hyperlink" Target="http://www.fcandslegal.com/2016/02/18/professional-insurance-marketing-association-elect"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fcandslegal.com/2016/02/18/janet-grace-named-to-lead-connecticut-captive-insu" TargetMode="External"/><Relationship Id="rId20" Type="http://schemas.openxmlformats.org/officeDocument/2006/relationships/hyperlink" Target="http://www.fcandslegal.com/legislative-regulatory-developments"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candslegal.com/2016/02/18/court-not-prepared-to-rule-on-boy-scouts-coverage" TargetMode="External"/><Relationship Id="rId24" Type="http://schemas.openxmlformats.org/officeDocument/2006/relationships/hyperlink" Target="http://www.fcandslegal.com/2016/02/18/sandy-weill-retires-from-hamilton-board-brian-dupe"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fcandslegal.com/case-law-developments" TargetMode="External"/><Relationship Id="rId23" Type="http://schemas.openxmlformats.org/officeDocument/2006/relationships/hyperlink" Target="http://www.fcandslegal.com/2016/02/18/berkshire-hathaway-shareholders-meeting-to-stream" TargetMode="External"/><Relationship Id="rId28" Type="http://schemas.openxmlformats.org/officeDocument/2006/relationships/header" Target="header2.xml"/><Relationship Id="rId10" Type="http://schemas.openxmlformats.org/officeDocument/2006/relationships/hyperlink" Target="http://www.fcandslegal.com/2016/02/18/reversing-trial-court-ny-appeals-court-finds-no-co" TargetMode="External"/><Relationship Id="rId19" Type="http://schemas.openxmlformats.org/officeDocument/2006/relationships/hyperlink" Target="http://www.fcandslegal.com/2016/02/18/north-carolina-insurance-department-to-examine-blu"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fcandslegal.com/2016/02/18/reversing-trial-court-ny-appeals-court-finds-no-co" TargetMode="External"/><Relationship Id="rId14" Type="http://schemas.openxmlformats.org/officeDocument/2006/relationships/hyperlink" Target="http://www.fcandslegal.com/2016/02/18/surface-water-exclusion-encompassed-water-from-nat" TargetMode="External"/><Relationship Id="rId22" Type="http://schemas.openxmlformats.org/officeDocument/2006/relationships/hyperlink" Target="http://www.fcandslegal.com/2016/02/18/qbe-north-america-appoints-daniel-franzetti-chief"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2016-02-19T14:49:00Z</dcterms:created>
  <dcterms:modified xsi:type="dcterms:W3CDTF">2016-02-19T14:49:00Z</dcterms:modified>
</cp:coreProperties>
</file>