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446F33"/>
    <w:p w:rsidR="003F64CC" w:rsidRDefault="003F64CC"/>
    <w:p w:rsidR="003F64CC" w:rsidRDefault="003F64CC"/>
    <w:p w:rsidR="003F64CC" w:rsidRDefault="003F64CC" w:rsidP="003F64CC">
      <w:pPr>
        <w:pStyle w:val="ListParagraph"/>
        <w:numPr>
          <w:ilvl w:val="0"/>
          <w:numId w:val="1"/>
        </w:numPr>
      </w:pPr>
      <w:r w:rsidRPr="003F64CC">
        <w:rPr>
          <w:b/>
          <w:bCs/>
        </w:rPr>
        <w:t>Removing the Roth IRA Contribution Limit Roadblock with 401(k) Dollars.  </w:t>
      </w:r>
      <w:r>
        <w:t>Generating after-tax income can be key to developing a well-balanced retirement income plan—but for clients who have delayed saving or wish to accumulate a substantial Roth nest egg, the annual contribution limits for retirement savings can present a formidable roadblock.  Fortunately, back-door routes to funding a Roth IRA have developed to allow clients to grow these accounts much more quickly.  On</w:t>
      </w:r>
      <w:bookmarkStart w:id="0" w:name="_GoBack"/>
      <w:bookmarkEnd w:id="0"/>
      <w:r>
        <w:t>e of these routes cuts right through one of the most commonly available retirement planning tools around—the traditional, employer-sponsored 401(k)—but it’s important that the client be apprised of several important consequences of this particular savings technique before taking any action</w:t>
      </w:r>
      <w:r w:rsidR="00446F33">
        <w:t>.</w:t>
      </w:r>
    </w:p>
    <w:p w:rsidR="003F64CC" w:rsidRDefault="003F64CC" w:rsidP="003F64CC">
      <w:pPr>
        <w:pStyle w:val="ListParagraph"/>
      </w:pPr>
    </w:p>
    <w:p w:rsidR="003F64CC" w:rsidRDefault="003F64CC" w:rsidP="003F64CC">
      <w:pPr>
        <w:pStyle w:val="ListParagraph"/>
        <w:numPr>
          <w:ilvl w:val="0"/>
          <w:numId w:val="1"/>
        </w:numPr>
      </w:pPr>
      <w:r>
        <w:t xml:space="preserve"> </w:t>
      </w:r>
      <w:r w:rsidR="00446F33">
        <w:rPr>
          <w:b/>
          <w:bCs/>
        </w:rPr>
        <w:t>IRA Distribution Did Not Modify a Series of Substantially Equal Periodic Payments.  </w:t>
      </w:r>
      <w:r w:rsidR="00446F33">
        <w:t>Running afoul of the IRA distribution rules can subject your clients to hefty penalty taxes--</w:t>
      </w:r>
      <w:proofErr w:type="gramStart"/>
      <w:r w:rsidR="00446F33">
        <w:t xml:space="preserve">and </w:t>
      </w:r>
      <w:r w:rsidR="00446F33">
        <w:t xml:space="preserve"> the</w:t>
      </w:r>
      <w:proofErr w:type="gramEnd"/>
      <w:r w:rsidR="00446F33">
        <w:t xml:space="preserve"> </w:t>
      </w:r>
      <w:r w:rsidR="00446F33">
        <w:t>IRS frequently issues new rulings that determine whether a taxpayer remains compliant.  The IRS has released a new analysis of whether a series of substantially equal</w:t>
      </w:r>
      <w:r w:rsidR="00446F33">
        <w:t xml:space="preserve"> periodic payments was modified.</w:t>
      </w:r>
    </w:p>
    <w:p w:rsidR="00446F33" w:rsidRDefault="00446F33" w:rsidP="00446F33">
      <w:pPr>
        <w:pStyle w:val="ListParagraph"/>
      </w:pPr>
    </w:p>
    <w:p w:rsidR="00446F33" w:rsidRDefault="00446F33" w:rsidP="003F64CC">
      <w:pPr>
        <w:pStyle w:val="ListParagraph"/>
        <w:numPr>
          <w:ilvl w:val="0"/>
          <w:numId w:val="1"/>
        </w:numPr>
      </w:pPr>
      <w:r>
        <w:rPr>
          <w:b/>
          <w:bCs/>
        </w:rPr>
        <w:t>Annuity Purchased with IRA Funds is Exempt from Bankruptcy Estate.  </w:t>
      </w:r>
      <w:r>
        <w:t>The Eighth Circuit upheld a bankruptcy appellate panel decision that an annuity purchased with funds rolled over from a taxpayer’s traditional IRA was exempt from the bankruptcy estate because the annuity complied with the IRC Section 408 requirements for qualified individual retirement annuities.  </w:t>
      </w:r>
    </w:p>
    <w:p w:rsidR="00446F33" w:rsidRDefault="00446F33" w:rsidP="00446F33">
      <w:pPr>
        <w:pStyle w:val="ListParagraph"/>
      </w:pPr>
    </w:p>
    <w:p w:rsidR="00446F33" w:rsidRPr="00446F33" w:rsidRDefault="00446F33" w:rsidP="003F64CC">
      <w:pPr>
        <w:pStyle w:val="ListParagraph"/>
        <w:numPr>
          <w:ilvl w:val="0"/>
          <w:numId w:val="1"/>
        </w:numPr>
      </w:pPr>
      <w:r w:rsidRPr="00446F33">
        <w:rPr>
          <w:b/>
          <w:bCs/>
        </w:rPr>
        <w:t>Why Delay?--QLACs Change the Game in Social Security Timing.  </w:t>
      </w:r>
      <w:r w:rsidRPr="00446F33">
        <w:t>The QLAC has finally become a realistic planning tool that can provide clients with guaranteed income late in life--but the introduction of this new vehicle can also reshape a client's entire retirement income planning approach, including even the most basic Socia</w:t>
      </w:r>
      <w:r w:rsidRPr="00446F33">
        <w:t>l Security timing strategies</w:t>
      </w:r>
      <w:proofErr w:type="gramStart"/>
      <w:r w:rsidRPr="00446F33">
        <w:t>..</w:t>
      </w:r>
      <w:proofErr w:type="gramEnd"/>
    </w:p>
    <w:p w:rsidR="003F64CC" w:rsidRDefault="003F64CC" w:rsidP="003F64CC"/>
    <w:p w:rsidR="003F64CC" w:rsidRDefault="003F64CC" w:rsidP="003F64CC"/>
    <w:sectPr w:rsidR="003F6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247B"/>
    <w:multiLevelType w:val="hybridMultilevel"/>
    <w:tmpl w:val="B2C84CD0"/>
    <w:lvl w:ilvl="0" w:tplc="BECC3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CC"/>
    <w:rsid w:val="0039735A"/>
    <w:rsid w:val="003F64CC"/>
    <w:rsid w:val="00446F33"/>
    <w:rsid w:val="00576634"/>
    <w:rsid w:val="00726CF1"/>
    <w:rsid w:val="00A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1</cp:revision>
  <dcterms:created xsi:type="dcterms:W3CDTF">2015-03-27T14:19:00Z</dcterms:created>
  <dcterms:modified xsi:type="dcterms:W3CDTF">2015-03-27T14:43:00Z</dcterms:modified>
</cp:coreProperties>
</file>