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9" w:rsidRDefault="00041039">
      <w:pPr>
        <w:pStyle w:val="wPA"/>
        <w:rPr>
          <w:b/>
        </w:rPr>
      </w:pPr>
      <w:r>
        <w:rPr>
          <w:b/>
        </w:rPr>
        <w:t>8818. What special considerations apply when an S corporation uses a buy-sell agreement?</w:t>
      </w:r>
    </w:p>
    <w:p w:rsidR="00041039" w:rsidRDefault="00041039">
      <w:pPr>
        <w:pStyle w:val="wPA"/>
      </w:pPr>
      <w:r>
        <w:t xml:space="preserve">Owners of S corporations, like C corporations, can execute buy-sell agreements to provide for the transition of a business owner’s interests based upon one or more triggering events. The S corporation also may choose to structure the agreement as either a cross-purchase or redemption agreement. In addition to the factors that are important to any business, S corporations must consider the following factors: (1) preservation of the S corporation status; (2) requiring distributions to ensure shareholders have adequate funds to pay for the S corporation’s income taxes at the shareholder level; and (3) protecting its fiscal year. </w:t>
      </w:r>
    </w:p>
    <w:p w:rsidR="00041039" w:rsidRDefault="00041039">
      <w:pPr>
        <w:pStyle w:val="wPA"/>
      </w:pPr>
      <w:r>
        <w:t>When an S corporation</w:t>
      </w:r>
      <w:r>
        <w:rPr>
          <w:rStyle w:val="wFootnoteReference"/>
        </w:rPr>
        <w:footnoteReference w:id="1"/>
      </w:r>
      <w:r>
        <w:t xml:space="preserve"> fails to qualify it automatically becomes a C corporation.</w:t>
      </w:r>
      <w:r>
        <w:rPr>
          <w:rStyle w:val="wFootnoteReference"/>
        </w:rPr>
        <w:footnoteReference w:id="2"/>
      </w:r>
      <w:r>
        <w:t xml:space="preserve"> Because S corporation qualification is tied to the number and types of shareholders, the use of a properly structured buy-sell agreement may be critical to protecting the business’ qualification as an S corporation.</w:t>
      </w:r>
      <w:r>
        <w:rPr>
          <w:rStyle w:val="wFootnoteReference"/>
        </w:rPr>
        <w:footnoteReference w:id="3"/>
      </w:r>
      <w:r>
        <w:t xml:space="preserve"> Provisions prohibiting certain transfers and acts should be included in the buy-sell agreement, including the following:</w:t>
      </w:r>
      <w:r>
        <w:rPr>
          <w:rStyle w:val="wFootnoteReference"/>
        </w:rPr>
        <w:footnoteReference w:id="4"/>
      </w:r>
    </w:p>
    <w:p w:rsidR="00041039" w:rsidRDefault="00041039">
      <w:pPr>
        <w:pStyle w:val="wPC"/>
      </w:pPr>
      <w:r>
        <w:t>(1)</w:t>
      </w:r>
      <w:r>
        <w:tab/>
        <w:t>Prohibitions on the transfer of stock to a prohibited S corporation shareholder, such as a corporation, foreign individual or ineligible trust; and</w:t>
      </w:r>
    </w:p>
    <w:p w:rsidR="00041039" w:rsidRDefault="00041039">
      <w:pPr>
        <w:pStyle w:val="wPC"/>
      </w:pPr>
      <w:r>
        <w:t>(2)</w:t>
      </w:r>
      <w:r>
        <w:tab/>
        <w:t xml:space="preserve">Prohibitions on the transfer of stock to an additional new shareholder if the transfer would bring the total number of shareholders above the permitted number (currently 100). </w:t>
      </w:r>
    </w:p>
    <w:p w:rsidR="00041039" w:rsidRDefault="00041039">
      <w:pPr>
        <w:pStyle w:val="wPA"/>
      </w:pPr>
      <w:r>
        <w:t>Further, an S corporation buy-sell agreement may contain different triggering events than those commonly used for a C corporation or partnership. An S corporation must make a variety of elections that can impact all of its shareholders. The fact that an S corporation is limited to issuing one class of stock (see Q 8795) often means that distribution requirements must be uniform for all shareholders so that variances are not found to create a second class of stock and disqualify the S corporation from its status.</w:t>
      </w:r>
      <w:r>
        <w:rPr>
          <w:rStyle w:val="wFootnoteReference"/>
        </w:rPr>
        <w:footnoteReference w:id="5"/>
      </w:r>
      <w:r>
        <w:t xml:space="preserve"> A buy-sell agreement could be structured so that remaining business owners have the right to purchase the interests of a shareholder who disagrees with the rights created with respect to the S corporation’s single class of stock. </w:t>
      </w:r>
    </w:p>
    <w:p w:rsidR="00041039" w:rsidRDefault="00041039">
      <w:pPr>
        <w:pStyle w:val="wPA"/>
      </w:pPr>
      <w:r>
        <w:t>Because S corporations are taxed at the individual shareholder level, rather than at the entity level, regardless of whether the S corporation actually distributes dividends, a buy-sell agreement can be used to ensure the shareholders’ ability to pay their income tax liabilities.</w:t>
      </w:r>
      <w:r>
        <w:rPr>
          <w:rStyle w:val="wFootnoteReference"/>
        </w:rPr>
        <w:footnoteReference w:id="6"/>
      </w:r>
      <w:r>
        <w:t xml:space="preserve"> A provision that triggers a buyout upon failure of the S corporation to meet its dividend obligations could be used to protect the interests of less wealthy shareholders. </w:t>
      </w:r>
    </w:p>
    <w:p w:rsidR="00041039" w:rsidRDefault="00041039" w:rsidP="00B55114">
      <w:pPr>
        <w:pStyle w:val="wPA"/>
      </w:pPr>
      <w:r>
        <w:lastRenderedPageBreak/>
        <w:t>Buy-sell agreements may also be useful in protecting the fiscal year of the S corporation. Generally, an S corporation is required to observe a calendar year as its tax year unless it can establish a valid reason for adopting a fisca</w:t>
      </w:r>
      <w:bookmarkStart w:id="0" w:name="_GoBack"/>
      <w:bookmarkEnd w:id="0"/>
      <w:r>
        <w:t>l year.</w:t>
      </w:r>
      <w:r>
        <w:rPr>
          <w:rStyle w:val="wFootnoteReference"/>
        </w:rPr>
        <w:footnoteReference w:id="7"/>
      </w:r>
      <w:r>
        <w:t xml:space="preserve"> If more than 50 percent of the S corporation’s shares are transferred, it must change to a calendar year or reestablish its entitlement to a fiscal year.</w:t>
      </w:r>
      <w:r>
        <w:rPr>
          <w:rStyle w:val="wFootnoteReference"/>
        </w:rPr>
        <w:footnoteReference w:id="8"/>
      </w:r>
      <w:r>
        <w:t xml:space="preserve"> To prevent this occurrence, an S corporation’s buy-sell agreement should contain provisions that would prevent shareholders from transferring enough shares to disqualify the S corporation from its current use of a fiscal year, if desired.</w:t>
      </w:r>
    </w:p>
    <w:p w:rsidR="002E36EE" w:rsidRDefault="00B55114" w:rsidP="00B55114">
      <w:pPr>
        <w:pStyle w:val="wPA"/>
      </w:pPr>
      <w:proofErr w:type="gramStart"/>
      <w:r w:rsidRPr="00B55114">
        <w:rPr>
          <w:b/>
        </w:rPr>
        <w:t>Planning Point:</w:t>
      </w:r>
      <w:r>
        <w:t xml:space="preserve"> </w:t>
      </w:r>
      <w:r w:rsidR="002E36EE">
        <w:t>Often times a buy sell agreement will permit transfers of the ownership interest among a group of “permitted transferees”.</w:t>
      </w:r>
      <w:proofErr w:type="gramEnd"/>
      <w:r w:rsidR="002E36EE">
        <w:t xml:space="preserve">  This provision is included where the parties do not mind having the ownership pass to family members or trusts for their benefit.  However, where the entity is an S corporation, it is important to make sure that any transfer is not to an entity which will terminate the S corporation election.</w:t>
      </w:r>
      <w:r w:rsidR="00041039">
        <w:t xml:space="preserve">  This would usually occur if the transfer is to a trust which does not qualify to own stock in an S corporation.</w:t>
      </w:r>
      <w:r w:rsidR="00DE64AF">
        <w:t xml:space="preserve"> 3</w:t>
      </w:r>
    </w:p>
    <w:sectPr w:rsidR="002E36EE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FF" w:rsidRDefault="006712FF">
      <w:r>
        <w:separator/>
      </w:r>
    </w:p>
  </w:endnote>
  <w:endnote w:type="continuationSeparator" w:id="0">
    <w:p w:rsidR="006712FF" w:rsidRDefault="006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MS Gothic"/>
    <w:charset w:val="80"/>
    <w:family w:val="swiss"/>
    <w:pitch w:val="variable"/>
    <w:sig w:usb0="00000000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FF" w:rsidRDefault="006712FF">
      <w:r>
        <w:separator/>
      </w:r>
    </w:p>
  </w:footnote>
  <w:footnote w:type="continuationSeparator" w:id="0">
    <w:p w:rsidR="006712FF" w:rsidRDefault="006712FF">
      <w:r>
        <w:continuationSeparator/>
      </w:r>
    </w:p>
  </w:footnote>
  <w:footnote w:id="1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1361(b).</w:t>
      </w:r>
    </w:p>
  </w:footnote>
  <w:footnote w:id="2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1362(d).</w:t>
      </w:r>
    </w:p>
  </w:footnote>
  <w:footnote w:id="3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</w:r>
      <w:r>
        <w:rPr>
          <w:i/>
        </w:rPr>
        <w:t>Hunt v. Data Mgmt. Resources, Inc.,</w:t>
      </w:r>
      <w:r>
        <w:t xml:space="preserve"> 985 P2d 730 (1999).</w:t>
      </w:r>
    </w:p>
  </w:footnote>
  <w:footnote w:id="4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See</w:t>
      </w:r>
      <w:r>
        <w:rPr>
          <w:i/>
        </w:rPr>
        <w:t xml:space="preserve"> Minton v. Comm.,</w:t>
      </w:r>
      <w:r>
        <w:t xml:space="preserve"> TC Memo 2007-372 (example of binding shareholder agreement).</w:t>
      </w:r>
    </w:p>
  </w:footnote>
  <w:footnote w:id="5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§1.1361-1(l)(2)(iv), (Ex. 6).</w:t>
      </w:r>
    </w:p>
  </w:footnote>
  <w:footnote w:id="6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Secs. 7519, 444.</w:t>
      </w:r>
    </w:p>
  </w:footnote>
  <w:footnote w:id="7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1378. See also Rev. Proc. 87-57, 1987-2 CB 687, Rev. Proc. 87-32, 1987-2 CB 396, regarding what constitutes a sufficient business purpose for adopting a fiscal year that does not end on December 31.</w:t>
      </w:r>
    </w:p>
  </w:footnote>
  <w:footnote w:id="8">
    <w:p w:rsidR="00041039" w:rsidRDefault="00041039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Tax Reform Act of 1986, Pub. L. No. 99-514, Sec. 806(e).</w:t>
      </w:r>
    </w:p>
    <w:p w:rsidR="00DE64AF" w:rsidRDefault="00DE64AF">
      <w:pPr>
        <w:pStyle w:val="wPQ"/>
      </w:pPr>
      <w:r>
        <w:t>3  See T. Reg. Sec. 1.1361-1(b)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E"/>
    <w:rsid w:val="00041039"/>
    <w:rsid w:val="002E36EE"/>
    <w:rsid w:val="0066786E"/>
    <w:rsid w:val="006712FF"/>
    <w:rsid w:val="00B55114"/>
    <w:rsid w:val="00DB69AC"/>
    <w:rsid w:val="00D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PCChar">
    <w:name w:val="wPC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Strong">
    <w:name w:val="wStrong"/>
    <w:rPr>
      <w:b/>
    </w:rPr>
  </w:style>
  <w:style w:type="character" w:customStyle="1" w:styleId="wssit">
    <w:name w:val="wssit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hAnsi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hAnsi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hAnsi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hAnsi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hAnsi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hAnsi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hAnsi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hAnsi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customStyle="1" w:styleId="wpara">
    <w:name w:val="wpara"/>
    <w:basedOn w:val="wNormal"/>
    <w:pPr>
      <w:spacing w:before="100" w:after="100"/>
    </w:pPr>
    <w:rPr>
      <w:rFonts w:ascii="Times New Roman" w:hAnsi="Times New Roman"/>
      <w:sz w:val="24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EE"/>
    <w:rPr>
      <w:rFonts w:ascii="Lucida Grande" w:hAnsi="Lucida Grande" w:cs="Lucida Grande"/>
      <w:kern w:val="1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PCChar">
    <w:name w:val="wPC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Strong">
    <w:name w:val="wStrong"/>
    <w:rPr>
      <w:b/>
    </w:rPr>
  </w:style>
  <w:style w:type="character" w:customStyle="1" w:styleId="wssit">
    <w:name w:val="wssit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hAnsi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hAnsi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hAnsi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hAnsi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hAnsi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hAnsi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hAnsi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hAnsi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customStyle="1" w:styleId="wpara">
    <w:name w:val="wpara"/>
    <w:basedOn w:val="wNormal"/>
    <w:pPr>
      <w:spacing w:before="100" w:after="100"/>
    </w:pPr>
    <w:rPr>
      <w:rFonts w:ascii="Times New Roman" w:hAnsi="Times New Roman"/>
      <w:sz w:val="24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EE"/>
    <w:rPr>
      <w:rFonts w:ascii="Lucida Grande" w:hAnsi="Lucida Grande" w:cs="Lucida Grande"/>
      <w:kern w:val="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8818. What special considerations apply when an S corporation uses a buy-sell agreement? </vt:lpstr>
    </vt:vector>
  </TitlesOfParts>
  <Company>Summit Business Media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8818. What special considerations apply when an S corporation uses a buy-sell agreement?</dc:title>
  <dc:creator>Alexis Long</dc:creator>
  <cp:lastModifiedBy>rcline</cp:lastModifiedBy>
  <cp:revision>2</cp:revision>
  <cp:lastPrinted>1901-01-01T05:00:00Z</cp:lastPrinted>
  <dcterms:created xsi:type="dcterms:W3CDTF">2014-07-28T14:10:00Z</dcterms:created>
  <dcterms:modified xsi:type="dcterms:W3CDTF">2014-07-28T14:10:00Z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