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50" w:rsidRDefault="00DD446C">
      <w:pPr>
        <w:pStyle w:val="wPA"/>
        <w:rPr>
          <w:b/>
        </w:rPr>
      </w:pPr>
      <w:bookmarkStart w:id="0" w:name="_GoBack"/>
      <w:bookmarkEnd w:id="0"/>
      <w:r>
        <w:rPr>
          <w:b/>
        </w:rPr>
        <w:t>8801. How is a B corporation taxed?</w:t>
      </w:r>
    </w:p>
    <w:p w:rsidR="00F96150" w:rsidRDefault="00DD446C">
      <w:pPr>
        <w:pStyle w:val="wPA"/>
      </w:pPr>
      <w:r>
        <w:t>The IRS has yet to provide guidance as to the tax treatment of B corporations. As such, a B corporation is subject to the same tax rules that govern C corporations (see Q 8776 to Q 8788), until the IRS releases guidance to the contrary.</w:t>
      </w:r>
    </w:p>
    <w:p w:rsidR="00DD446C" w:rsidRDefault="00DD446C">
      <w:pPr>
        <w:pStyle w:val="wNormal"/>
      </w:pPr>
    </w:p>
    <w:sectPr w:rsidR="00DD446C"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 LT Std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dobe Casl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80"/>
    <w:family w:val="roman"/>
    <w:pitch w:val="variable"/>
    <w:sig w:usb0="00000001" w:usb1="08070000" w:usb2="00000010" w:usb3="00000000" w:csb0="00020000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A9"/>
    <w:rsid w:val="002125D6"/>
    <w:rsid w:val="00994766"/>
    <w:rsid w:val="00A10B34"/>
    <w:rsid w:val="00DD446C"/>
    <w:rsid w:val="00E43EA9"/>
    <w:rsid w:val="00F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8801. How is a B corporation taxed?</vt:lpstr>
    </vt:vector>
  </TitlesOfParts>
  <Company>Summit Business Media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8801. How is a B corporation taxed?</dc:title>
  <dc:creator>Alexis Long</dc:creator>
  <cp:lastModifiedBy>rcline</cp:lastModifiedBy>
  <cp:revision>2</cp:revision>
  <cp:lastPrinted>1901-01-01T05:00:00Z</cp:lastPrinted>
  <dcterms:created xsi:type="dcterms:W3CDTF">2014-07-28T17:06:00Z</dcterms:created>
  <dcterms:modified xsi:type="dcterms:W3CDTF">2014-07-28T17:06:00Z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Summit Business Media</vt:lpwstr>
  </property>
  <property fmtid="{D5CDD505-2E9C-101B-9397-08002B2CF9AE}" pid="3" name="Version">
    <vt:lpwstr>14</vt:lpwstr>
  </property>
</Properties>
</file>