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A1" w:rsidRDefault="00DC1FA1" w:rsidP="00351992">
      <w:pPr>
        <w:pStyle w:val="PA"/>
      </w:pPr>
    </w:p>
    <w:p w:rsidR="00DC1FA1" w:rsidRPr="00DC1FA1" w:rsidRDefault="00DC1FA1" w:rsidP="00351992">
      <w:pPr>
        <w:pStyle w:val="PA"/>
        <w:rPr>
          <w:b/>
          <w:color w:val="auto"/>
        </w:rPr>
      </w:pPr>
      <w:r w:rsidRPr="00DC1FA1">
        <w:rPr>
          <w:b/>
          <w:color w:val="auto"/>
        </w:rPr>
        <w:t xml:space="preserve">8594.  </w:t>
      </w:r>
      <w:r w:rsidR="009A3E72">
        <w:rPr>
          <w:b/>
          <w:color w:val="auto"/>
        </w:rPr>
        <w:t>Under what circumstance</w:t>
      </w:r>
      <w:r w:rsidR="00DE30CA">
        <w:rPr>
          <w:b/>
          <w:color w:val="auto"/>
        </w:rPr>
        <w:t>s</w:t>
      </w:r>
      <w:bookmarkStart w:id="0" w:name="_GoBack"/>
      <w:bookmarkEnd w:id="0"/>
      <w:r w:rsidR="009A3E72">
        <w:rPr>
          <w:b/>
          <w:color w:val="auto"/>
        </w:rPr>
        <w:t xml:space="preserve"> </w:t>
      </w:r>
      <w:r w:rsidRPr="00DC1FA1">
        <w:rPr>
          <w:b/>
          <w:color w:val="auto"/>
        </w:rPr>
        <w:t>can a taxpayer</w:t>
      </w:r>
      <w:r w:rsidR="009A3E72">
        <w:rPr>
          <w:b/>
          <w:color w:val="auto"/>
        </w:rPr>
        <w:t xml:space="preserve"> roll over the gain </w:t>
      </w:r>
      <w:r w:rsidRPr="00DC1FA1">
        <w:rPr>
          <w:b/>
          <w:color w:val="auto"/>
        </w:rPr>
        <w:t>from a sale of stock in a specialized small business investment company?</w:t>
      </w:r>
    </w:p>
    <w:p w:rsidR="00351992" w:rsidRPr="0090338F" w:rsidRDefault="00351992" w:rsidP="00351992">
      <w:pPr>
        <w:pStyle w:val="PA"/>
        <w:rPr>
          <w:b/>
        </w:rPr>
      </w:pPr>
      <w:r w:rsidRPr="0090338F">
        <w:t>Individual taxpayers and C corporations that invest in a specialized small business investment company (SSBIC</w:t>
      </w:r>
      <w:r>
        <w:t>, see below</w:t>
      </w:r>
      <w:r w:rsidRPr="0090338F">
        <w:t>) may elect to roll over capital g</w:t>
      </w:r>
      <w:r>
        <w:t>ain (within limits) on publicly-</w:t>
      </w:r>
      <w:r w:rsidRPr="0090338F">
        <w:t xml:space="preserve">traded securities sold within 60 days of the SSBIC purchase. In order to defer the taxation of gain from such a sale, the individual or corporation must use the proceeds from the sale to purchase common stock or a partnership interest in a </w:t>
      </w:r>
      <w:r>
        <w:t>SSBIC</w:t>
      </w:r>
      <w:r w:rsidRPr="0090338F">
        <w:t xml:space="preserve"> within 60 days of the date of sale.</w:t>
      </w:r>
      <w:r>
        <w:rPr>
          <w:rStyle w:val="FootnoteReference"/>
          <w:color w:val="auto"/>
        </w:rPr>
        <w:footnoteReference w:id="1"/>
      </w:r>
      <w:r w:rsidRPr="0090338F">
        <w:t xml:space="preserve"> </w:t>
      </w:r>
    </w:p>
    <w:p w:rsidR="00351992" w:rsidRPr="0090338F" w:rsidRDefault="00351992" w:rsidP="00351992">
      <w:pPr>
        <w:pStyle w:val="PA"/>
        <w:rPr>
          <w:b/>
        </w:rPr>
      </w:pPr>
      <w:r w:rsidRPr="0090338F">
        <w:t>The amount of gain that may be rolled over for any taxable year by an individual is limited to the lesser of (a) $50,000 or (b) $500,000, reduced by any gain previously excluded under this rollover provision. Thus, the most an individual may roll over during his lifetime is $500,000.</w:t>
      </w:r>
      <w:r>
        <w:rPr>
          <w:rStyle w:val="FootnoteReference"/>
          <w:color w:val="auto"/>
        </w:rPr>
        <w:footnoteReference w:id="2"/>
      </w:r>
      <w:r w:rsidRPr="0090338F">
        <w:t xml:space="preserve"> (The limits are $25,000 and $250,000, respectively, for married taxpayers filing separately</w:t>
      </w:r>
      <w:r w:rsidR="009F2C43">
        <w:t>.</w:t>
      </w:r>
      <w:r>
        <w:t>)</w:t>
      </w:r>
    </w:p>
    <w:p w:rsidR="00351992" w:rsidRPr="0090338F" w:rsidRDefault="00351992" w:rsidP="00351992">
      <w:pPr>
        <w:pStyle w:val="PA"/>
        <w:rPr>
          <w:b/>
        </w:rPr>
      </w:pPr>
      <w:r w:rsidRPr="0090338F">
        <w:t>In the case of C corporations, the gain that may be deferred may not exceed the lesser of (a) $250,000 or (b) $1,000,000, reduced by any gain excluded in previous taxable years.</w:t>
      </w:r>
      <w:r>
        <w:rPr>
          <w:rStyle w:val="FootnoteReference"/>
          <w:color w:val="auto"/>
        </w:rPr>
        <w:footnoteReference w:id="3"/>
      </w:r>
      <w:r w:rsidRPr="0090338F">
        <w:t xml:space="preserve"> </w:t>
      </w:r>
    </w:p>
    <w:p w:rsidR="00351992" w:rsidRPr="0090338F" w:rsidRDefault="00351992" w:rsidP="00351992">
      <w:pPr>
        <w:pStyle w:val="PA"/>
        <w:rPr>
          <w:b/>
        </w:rPr>
      </w:pPr>
      <w:r w:rsidRPr="0090338F">
        <w:t>To the extent that</w:t>
      </w:r>
      <w:r>
        <w:t xml:space="preserve"> gain from the sale of publicly-</w:t>
      </w:r>
      <w:r w:rsidRPr="0090338F">
        <w:t>traded securities exceeds the cost of the SSBIC common stock or partnership interest subsequently purchased, such gain will be taxed in the year of sale. Any gain that is characterized as ordinary income is not eligible for rollover treatment. In addition, gain previously rolled over under this provision may not be rolled over again.</w:t>
      </w:r>
      <w:r>
        <w:rPr>
          <w:rStyle w:val="FootnoteReference"/>
          <w:color w:val="auto"/>
        </w:rPr>
        <w:footnoteReference w:id="4"/>
      </w:r>
      <w:r>
        <w:t xml:space="preserve"> </w:t>
      </w:r>
    </w:p>
    <w:p w:rsidR="00351992" w:rsidRPr="0090338F" w:rsidRDefault="00351992" w:rsidP="00351992">
      <w:pPr>
        <w:pStyle w:val="PA"/>
        <w:rPr>
          <w:b/>
        </w:rPr>
      </w:pPr>
      <w:r w:rsidRPr="0090338F">
        <w:t>Basis in the SSBIC common stock or partnership interest is generally reduced by the amo</w:t>
      </w:r>
      <w:r>
        <w:t>unt of gain that is rolled over.</w:t>
      </w:r>
      <w:r w:rsidR="00B4630A">
        <w:t xml:space="preserve"> </w:t>
      </w:r>
      <w:r>
        <w:t>Despite this</w:t>
      </w:r>
      <w:r w:rsidRPr="0090338F">
        <w:t>, the basis of any SSBIC stock is not reduced for purposes of calculati</w:t>
      </w:r>
      <w:r>
        <w:t>ng the gain eligible for the 50 percent</w:t>
      </w:r>
      <w:r w:rsidRPr="0090338F">
        <w:t xml:space="preserve"> exclusion for qualified small business stock</w:t>
      </w:r>
      <w:r>
        <w:t xml:space="preserve"> (see </w:t>
      </w:r>
      <w:r w:rsidR="00B846C8">
        <w:t>Q</w:t>
      </w:r>
      <w:r w:rsidR="006F335D">
        <w:t xml:space="preserve"> </w:t>
      </w:r>
      <w:r w:rsidR="00B846C8">
        <w:t>8591</w:t>
      </w:r>
      <w:r>
        <w:t>)</w:t>
      </w:r>
      <w:r w:rsidRPr="0090338F">
        <w:t>.</w:t>
      </w:r>
      <w:r>
        <w:rPr>
          <w:rStyle w:val="FootnoteReference"/>
          <w:color w:val="auto"/>
        </w:rPr>
        <w:footnoteReference w:id="5"/>
      </w:r>
      <w:r w:rsidR="00B4630A">
        <w:t xml:space="preserve"> </w:t>
      </w:r>
    </w:p>
    <w:p w:rsidR="00351992" w:rsidRPr="002A339C" w:rsidRDefault="00351992" w:rsidP="00351992">
      <w:pPr>
        <w:pStyle w:val="PA"/>
        <w:rPr>
          <w:b/>
        </w:rPr>
      </w:pPr>
      <w:r w:rsidRPr="0090338F">
        <w:t>A “specialized small business investment company” is defined as any partnership or corporation that is licensed by the Small Business Administratio</w:t>
      </w:r>
      <w:r>
        <w:t>n under</w:t>
      </w:r>
      <w:r w:rsidRPr="00794162">
        <w:t xml:space="preserve"> </w:t>
      </w:r>
      <w:r w:rsidRPr="00817A9B">
        <w:t>Sec</w:t>
      </w:r>
      <w:r w:rsidR="00EF40ED">
        <w:t>tion</w:t>
      </w:r>
      <w:r w:rsidRPr="00817A9B">
        <w:t xml:space="preserve"> 301(d) of the Small Business Investment Act of </w:t>
      </w:r>
      <w:r w:rsidR="009F2C43">
        <w:t>19</w:t>
      </w:r>
      <w:r w:rsidRPr="00817A9B">
        <w:t>58</w:t>
      </w:r>
      <w:r w:rsidR="009F2C43">
        <w:t>,</w:t>
      </w:r>
      <w:r w:rsidRPr="00817A9B">
        <w:t xml:space="preserve"> as in effect on May 13, </w:t>
      </w:r>
      <w:r w:rsidR="009F2C43">
        <w:t>19</w:t>
      </w:r>
      <w:r w:rsidRPr="00817A9B">
        <w:t>93.</w:t>
      </w:r>
      <w:r w:rsidRPr="00817A9B">
        <w:rPr>
          <w:rStyle w:val="FootnoteReference"/>
          <w:color w:val="auto"/>
        </w:rPr>
        <w:footnoteReference w:id="6"/>
      </w:r>
      <w:r w:rsidR="00B4630A">
        <w:t xml:space="preserve"> </w:t>
      </w:r>
    </w:p>
    <w:p w:rsidR="00844CAC" w:rsidRPr="00351992" w:rsidRDefault="00351992" w:rsidP="009A3E72">
      <w:pPr>
        <w:pStyle w:val="PA"/>
      </w:pPr>
      <w:r w:rsidRPr="0090338F">
        <w:t>Estates, trusts, partnerships, and S corporations are not eligible to take advantage</w:t>
      </w:r>
      <w:r>
        <w:t xml:space="preserve"> of this rollover provision.</w:t>
      </w:r>
      <w:r>
        <w:rPr>
          <w:rStyle w:val="FootnoteReference"/>
          <w:color w:val="auto"/>
        </w:rPr>
        <w:footnoteReference w:id="7"/>
      </w:r>
    </w:p>
    <w:sectPr w:rsidR="00844CAC" w:rsidRPr="00351992" w:rsidSect="0000718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78" w:rsidRDefault="00FA0178">
      <w:r>
        <w:separator/>
      </w:r>
    </w:p>
  </w:endnote>
  <w:endnote w:type="continuationSeparator" w:id="0">
    <w:p w:rsidR="00FA0178" w:rsidRDefault="00FA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78" w:rsidRDefault="00FA0178">
      <w:r>
        <w:separator/>
      </w:r>
    </w:p>
  </w:footnote>
  <w:footnote w:type="continuationSeparator" w:id="0">
    <w:p w:rsidR="00FA0178" w:rsidRDefault="00FA0178">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IRC Sec. 1044.</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IRC Sec. 1044(b)(1).</w:t>
      </w:r>
    </w:p>
  </w:footnote>
  <w:footnote w:id="3">
    <w:p w:rsidR="00351992" w:rsidRPr="00B4630A" w:rsidRDefault="00351992" w:rsidP="00351992">
      <w:pPr>
        <w:pStyle w:val="PQ"/>
      </w:pPr>
      <w:r w:rsidRPr="00B4630A">
        <w:rPr>
          <w:rStyle w:val="FootnoteReference"/>
          <w:vertAlign w:val="baseline"/>
        </w:rPr>
        <w:footnoteRef/>
      </w:r>
      <w:r w:rsidRPr="00B4630A">
        <w:t>.</w:t>
      </w:r>
      <w:r w:rsidRPr="00B4630A">
        <w:tab/>
        <w:t>IRC Sec. 1044(b)(2).</w:t>
      </w:r>
    </w:p>
  </w:footnote>
  <w:footnote w:id="4">
    <w:p w:rsidR="00351992" w:rsidRPr="00B4630A" w:rsidRDefault="00351992" w:rsidP="00351992">
      <w:pPr>
        <w:pStyle w:val="PQ"/>
      </w:pPr>
      <w:r w:rsidRPr="00B4630A">
        <w:rPr>
          <w:rStyle w:val="FootnoteReference"/>
          <w:vertAlign w:val="baseline"/>
        </w:rPr>
        <w:footnoteRef/>
      </w:r>
      <w:r w:rsidRPr="00B4630A">
        <w:t>.</w:t>
      </w:r>
      <w:r w:rsidRPr="00B4630A">
        <w:tab/>
        <w:t xml:space="preserve">IRC Sec. </w:t>
      </w:r>
      <w:proofErr w:type="gramStart"/>
      <w:r w:rsidRPr="00B4630A">
        <w:t>1044(a</w:t>
      </w:r>
      <w:proofErr w:type="gramEnd"/>
      <w:r w:rsidRPr="00B4630A">
        <w:t>).</w:t>
      </w:r>
    </w:p>
  </w:footnote>
  <w:footnote w:id="5">
    <w:p w:rsidR="00351992" w:rsidRPr="00B4630A" w:rsidRDefault="00351992" w:rsidP="00351992">
      <w:pPr>
        <w:pStyle w:val="PQ"/>
      </w:pPr>
      <w:r w:rsidRPr="00B4630A">
        <w:rPr>
          <w:rStyle w:val="FootnoteReference"/>
          <w:vertAlign w:val="baseline"/>
        </w:rPr>
        <w:footnoteRef/>
      </w:r>
      <w:r w:rsidRPr="00B4630A">
        <w:t>.</w:t>
      </w:r>
      <w:r w:rsidRPr="00B4630A">
        <w:tab/>
        <w:t>IRC Sec. 1044(d).</w:t>
      </w:r>
    </w:p>
  </w:footnote>
  <w:footnote w:id="6">
    <w:p w:rsidR="00351992" w:rsidRPr="00B4630A" w:rsidRDefault="00351992" w:rsidP="00351992">
      <w:pPr>
        <w:pStyle w:val="PQ"/>
        <w:ind w:left="0" w:firstLine="0"/>
      </w:pPr>
      <w:r w:rsidRPr="00B4630A">
        <w:rPr>
          <w:rStyle w:val="FootnoteReference"/>
          <w:vertAlign w:val="baseline"/>
        </w:rPr>
        <w:footnoteRef/>
      </w:r>
      <w:r w:rsidRPr="00B4630A">
        <w:t>.</w:t>
      </w:r>
      <w:r w:rsidRPr="00B4630A">
        <w:tab/>
        <w:t>IRC Sec. 1044(c)(3).</w:t>
      </w:r>
    </w:p>
  </w:footnote>
  <w:footnote w:id="7">
    <w:p w:rsidR="00351992" w:rsidRPr="00B4630A" w:rsidRDefault="00351992" w:rsidP="00351992">
      <w:pPr>
        <w:pStyle w:val="PQ"/>
      </w:pPr>
      <w:r w:rsidRPr="00B4630A">
        <w:rPr>
          <w:rStyle w:val="FootnoteReference"/>
          <w:vertAlign w:val="baseline"/>
        </w:rPr>
        <w:footnoteRef/>
      </w:r>
      <w:r w:rsidRPr="00B4630A">
        <w:t>.</w:t>
      </w:r>
      <w:r w:rsidRPr="00B4630A">
        <w:tab/>
        <w:t>IRC Sec. 1044(c)(4).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182"/>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4ED8"/>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2DEA"/>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1FC"/>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73D"/>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94"/>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E75"/>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5CB4"/>
    <w:rsid w:val="00376150"/>
    <w:rsid w:val="0037625D"/>
    <w:rsid w:val="00376382"/>
    <w:rsid w:val="003763B9"/>
    <w:rsid w:val="0037664D"/>
    <w:rsid w:val="003768D5"/>
    <w:rsid w:val="00377540"/>
    <w:rsid w:val="0037768E"/>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0D9F"/>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36A"/>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7B8"/>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35D"/>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0E28"/>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4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7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72"/>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DFF"/>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86D"/>
    <w:rsid w:val="009C293E"/>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C43"/>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6C8"/>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77E"/>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290"/>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D95"/>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07C8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82B"/>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2D55"/>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1FA1"/>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0CA"/>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841"/>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AD6"/>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0ED"/>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A06"/>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AFD"/>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365"/>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78"/>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6F335D"/>
    <w:rPr>
      <w:rFonts w:ascii="Perpetua Std" w:hAnsi="Perpetua Std"/>
    </w:rPr>
  </w:style>
  <w:style w:type="paragraph" w:styleId="Heading1">
    <w:name w:val="heading 1"/>
    <w:basedOn w:val="Normal"/>
    <w:next w:val="Normal"/>
    <w:link w:val="Heading1Char"/>
    <w:qFormat/>
    <w:rsid w:val="006F335D"/>
    <w:pPr>
      <w:keepNext/>
      <w:outlineLvl w:val="0"/>
    </w:pPr>
    <w:rPr>
      <w:b/>
    </w:rPr>
  </w:style>
  <w:style w:type="paragraph" w:styleId="Heading2">
    <w:name w:val="heading 2"/>
    <w:basedOn w:val="Normal"/>
    <w:next w:val="Normal"/>
    <w:link w:val="Heading2Char"/>
    <w:qFormat/>
    <w:rsid w:val="006F335D"/>
    <w:pPr>
      <w:keepNext/>
      <w:spacing w:before="240" w:after="60"/>
      <w:outlineLvl w:val="1"/>
    </w:pPr>
    <w:rPr>
      <w:rFonts w:ascii="Arial" w:hAnsi="Arial"/>
      <w:b/>
      <w:i/>
      <w:sz w:val="24"/>
    </w:rPr>
  </w:style>
  <w:style w:type="paragraph" w:styleId="Heading3">
    <w:name w:val="heading 3"/>
    <w:basedOn w:val="Normal"/>
    <w:next w:val="Normal"/>
    <w:link w:val="Heading3Char"/>
    <w:qFormat/>
    <w:rsid w:val="006F335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35D"/>
    <w:pPr>
      <w:tabs>
        <w:tab w:val="center" w:pos="4320"/>
        <w:tab w:val="right" w:pos="8640"/>
      </w:tabs>
    </w:pPr>
  </w:style>
  <w:style w:type="paragraph" w:styleId="Header">
    <w:name w:val="header"/>
    <w:basedOn w:val="Normal"/>
    <w:rsid w:val="006F335D"/>
    <w:pPr>
      <w:tabs>
        <w:tab w:val="center" w:pos="4320"/>
        <w:tab w:val="right" w:pos="8640"/>
      </w:tabs>
    </w:pPr>
  </w:style>
  <w:style w:type="paragraph" w:customStyle="1" w:styleId="Standard">
    <w:name w:val="Standard"/>
    <w:rsid w:val="006F335D"/>
    <w:pPr>
      <w:spacing w:before="144"/>
      <w:jc w:val="both"/>
    </w:pPr>
    <w:rPr>
      <w:noProof/>
    </w:rPr>
  </w:style>
  <w:style w:type="paragraph" w:customStyle="1" w:styleId="PA">
    <w:name w:val="PA"/>
    <w:next w:val="Normal"/>
    <w:link w:val="PAChar"/>
    <w:rsid w:val="006F335D"/>
    <w:pPr>
      <w:spacing w:after="240"/>
      <w:ind w:firstLine="288"/>
      <w:jc w:val="both"/>
    </w:pPr>
    <w:rPr>
      <w:rFonts w:ascii="Perpetua Std" w:hAnsi="Perpetua Std"/>
      <w:color w:val="000000"/>
      <w:sz w:val="24"/>
    </w:rPr>
  </w:style>
  <w:style w:type="character" w:customStyle="1" w:styleId="PAChar">
    <w:name w:val="PA Char"/>
    <w:link w:val="PA"/>
    <w:rsid w:val="006F335D"/>
    <w:rPr>
      <w:rFonts w:ascii="Perpetua Std" w:hAnsi="Perpetua Std"/>
      <w:color w:val="000000"/>
      <w:sz w:val="24"/>
    </w:rPr>
  </w:style>
  <w:style w:type="paragraph" w:customStyle="1" w:styleId="PB">
    <w:name w:val="PB"/>
    <w:rsid w:val="006F335D"/>
    <w:pPr>
      <w:spacing w:after="240"/>
      <w:jc w:val="both"/>
    </w:pPr>
    <w:rPr>
      <w:rFonts w:ascii="Perpetua Std" w:hAnsi="Perpetua Std"/>
      <w:color w:val="000000"/>
      <w:sz w:val="24"/>
    </w:rPr>
  </w:style>
  <w:style w:type="paragraph" w:customStyle="1" w:styleId="PC">
    <w:name w:val="PC"/>
    <w:rsid w:val="006F335D"/>
    <w:pPr>
      <w:tabs>
        <w:tab w:val="left" w:pos="720"/>
      </w:tabs>
      <w:spacing w:after="240"/>
      <w:ind w:left="720" w:hanging="360"/>
      <w:jc w:val="both"/>
    </w:pPr>
    <w:rPr>
      <w:rFonts w:ascii="Perpetua Std" w:hAnsi="Perpetua Std"/>
      <w:color w:val="000000"/>
      <w:sz w:val="24"/>
    </w:rPr>
  </w:style>
  <w:style w:type="paragraph" w:customStyle="1" w:styleId="PD">
    <w:name w:val="PD"/>
    <w:rsid w:val="006F335D"/>
    <w:pPr>
      <w:spacing w:after="240"/>
      <w:ind w:left="720" w:firstLine="288"/>
      <w:jc w:val="both"/>
    </w:pPr>
    <w:rPr>
      <w:rFonts w:ascii="Perpetua Std" w:hAnsi="Perpetua Std"/>
      <w:color w:val="000000"/>
      <w:sz w:val="24"/>
    </w:rPr>
  </w:style>
  <w:style w:type="paragraph" w:customStyle="1" w:styleId="PE">
    <w:name w:val="PE"/>
    <w:rsid w:val="006F335D"/>
    <w:pPr>
      <w:spacing w:after="240"/>
      <w:ind w:left="720"/>
      <w:jc w:val="both"/>
    </w:pPr>
    <w:rPr>
      <w:rFonts w:ascii="Perpetua Std" w:hAnsi="Perpetua Std"/>
      <w:color w:val="000000"/>
      <w:sz w:val="24"/>
    </w:rPr>
  </w:style>
  <w:style w:type="paragraph" w:customStyle="1" w:styleId="PF">
    <w:name w:val="PF"/>
    <w:rsid w:val="006F335D"/>
    <w:pPr>
      <w:tabs>
        <w:tab w:val="left" w:pos="1080"/>
      </w:tabs>
      <w:spacing w:after="240"/>
      <w:ind w:left="1080" w:hanging="360"/>
      <w:jc w:val="both"/>
    </w:pPr>
    <w:rPr>
      <w:rFonts w:ascii="Perpetua Std" w:hAnsi="Perpetua Std"/>
      <w:color w:val="000000"/>
      <w:sz w:val="24"/>
    </w:rPr>
  </w:style>
  <w:style w:type="paragraph" w:customStyle="1" w:styleId="PG">
    <w:name w:val="PG"/>
    <w:rsid w:val="006F335D"/>
    <w:pPr>
      <w:spacing w:after="240"/>
      <w:ind w:left="360"/>
      <w:jc w:val="both"/>
    </w:pPr>
    <w:rPr>
      <w:rFonts w:ascii="Perpetua Std" w:hAnsi="Perpetua Std"/>
      <w:color w:val="000000"/>
      <w:sz w:val="24"/>
    </w:rPr>
  </w:style>
  <w:style w:type="paragraph" w:customStyle="1" w:styleId="PH">
    <w:name w:val="PH"/>
    <w:rsid w:val="006F335D"/>
    <w:pPr>
      <w:tabs>
        <w:tab w:val="left" w:pos="360"/>
      </w:tabs>
      <w:spacing w:after="240"/>
      <w:ind w:left="360" w:hanging="360"/>
      <w:jc w:val="both"/>
    </w:pPr>
    <w:rPr>
      <w:rFonts w:ascii="Perpetua Std" w:hAnsi="Perpetua Std"/>
      <w:color w:val="000000"/>
      <w:sz w:val="24"/>
    </w:rPr>
  </w:style>
  <w:style w:type="paragraph" w:customStyle="1" w:styleId="PI">
    <w:name w:val="PI"/>
    <w:rsid w:val="006F335D"/>
    <w:pPr>
      <w:spacing w:after="240"/>
      <w:ind w:left="360" w:hanging="360"/>
      <w:jc w:val="both"/>
    </w:pPr>
    <w:rPr>
      <w:rFonts w:ascii="Perpetua Std" w:hAnsi="Perpetua Std"/>
      <w:color w:val="000000"/>
      <w:sz w:val="24"/>
    </w:rPr>
  </w:style>
  <w:style w:type="paragraph" w:customStyle="1" w:styleId="PK">
    <w:name w:val="PK"/>
    <w:rsid w:val="006F335D"/>
    <w:pPr>
      <w:spacing w:after="240"/>
      <w:ind w:left="360" w:firstLine="288"/>
      <w:jc w:val="both"/>
    </w:pPr>
    <w:rPr>
      <w:rFonts w:ascii="Perpetua Std" w:hAnsi="Perpetua Std"/>
      <w:color w:val="000000"/>
      <w:sz w:val="24"/>
    </w:rPr>
  </w:style>
  <w:style w:type="paragraph" w:customStyle="1" w:styleId="PL">
    <w:name w:val="PL"/>
    <w:rsid w:val="006F335D"/>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6F335D"/>
    <w:pPr>
      <w:spacing w:after="240"/>
      <w:ind w:left="432" w:right="432" w:firstLine="432"/>
      <w:jc w:val="both"/>
    </w:pPr>
    <w:rPr>
      <w:rFonts w:ascii="Minion Pro" w:hAnsi="Minion Pro"/>
    </w:rPr>
  </w:style>
  <w:style w:type="paragraph" w:customStyle="1" w:styleId="TOC">
    <w:name w:val="TOC"/>
    <w:autoRedefine/>
    <w:rsid w:val="006F335D"/>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6F335D"/>
    <w:pPr>
      <w:tabs>
        <w:tab w:val="clear" w:pos="1440"/>
        <w:tab w:val="clear" w:pos="8640"/>
        <w:tab w:val="left" w:pos="240"/>
        <w:tab w:val="left" w:pos="480"/>
        <w:tab w:val="right" w:leader="dot" w:pos="4680"/>
      </w:tabs>
      <w:ind w:left="0" w:firstLine="0"/>
    </w:pPr>
    <w:rPr>
      <w:sz w:val="22"/>
    </w:rPr>
  </w:style>
  <w:style w:type="paragraph" w:customStyle="1" w:styleId="QU">
    <w:name w:val="QU"/>
    <w:rsid w:val="006F335D"/>
    <w:pPr>
      <w:spacing w:after="240"/>
      <w:jc w:val="both"/>
    </w:pPr>
    <w:rPr>
      <w:rFonts w:ascii="Helvetica LT Std" w:hAnsi="Helvetica LT Std"/>
      <w:b/>
      <w:color w:val="000000"/>
      <w:sz w:val="26"/>
    </w:rPr>
  </w:style>
  <w:style w:type="paragraph" w:customStyle="1" w:styleId="PQ">
    <w:name w:val="PQ"/>
    <w:link w:val="PQChar"/>
    <w:rsid w:val="006F335D"/>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6F335D"/>
    <w:rPr>
      <w:rFonts w:ascii="Adobe Caslon Pro" w:hAnsi="Adobe Caslon Pro"/>
      <w:color w:val="000000"/>
      <w:sz w:val="14"/>
    </w:rPr>
  </w:style>
  <w:style w:type="paragraph" w:customStyle="1" w:styleId="HD">
    <w:name w:val="HD"/>
    <w:rsid w:val="006F335D"/>
    <w:pPr>
      <w:suppressAutoHyphens/>
      <w:spacing w:before="120"/>
      <w:jc w:val="center"/>
    </w:pPr>
    <w:rPr>
      <w:rFonts w:ascii="Helvetica LT Std" w:hAnsi="Helvetica LT Std"/>
      <w:sz w:val="26"/>
      <w:szCs w:val="18"/>
    </w:rPr>
  </w:style>
  <w:style w:type="paragraph" w:customStyle="1" w:styleId="PP">
    <w:name w:val="PP"/>
    <w:rsid w:val="006F335D"/>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6F335D"/>
    <w:pPr>
      <w:spacing w:before="120" w:after="120"/>
      <w:jc w:val="center"/>
    </w:pPr>
    <w:rPr>
      <w:rFonts w:ascii="Helvetica LT Std" w:hAnsi="Helvetica LT Std"/>
      <w:sz w:val="24"/>
    </w:rPr>
  </w:style>
  <w:style w:type="paragraph" w:customStyle="1" w:styleId="PN">
    <w:name w:val="PN"/>
    <w:rsid w:val="006F335D"/>
    <w:pPr>
      <w:spacing w:after="240"/>
      <w:ind w:left="720" w:firstLine="288"/>
      <w:jc w:val="both"/>
    </w:pPr>
    <w:rPr>
      <w:rFonts w:ascii="Perpetua Std" w:eastAsia="MS Mincho" w:hAnsi="Perpetua Std"/>
      <w:color w:val="000000"/>
    </w:rPr>
  </w:style>
  <w:style w:type="table" w:styleId="TableGrid">
    <w:name w:val="Table Grid"/>
    <w:basedOn w:val="TableNormal"/>
    <w:rsid w:val="006F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6F335D"/>
    <w:rPr>
      <w:vertAlign w:val="superscript"/>
    </w:rPr>
  </w:style>
  <w:style w:type="paragraph" w:customStyle="1" w:styleId="HA">
    <w:name w:val="HA"/>
    <w:autoRedefine/>
    <w:rsid w:val="006F335D"/>
    <w:pPr>
      <w:spacing w:after="240"/>
      <w:jc w:val="center"/>
    </w:pPr>
    <w:rPr>
      <w:rFonts w:ascii="Helvetica LT Std" w:hAnsi="Helvetica LT Std"/>
      <w:b/>
      <w:caps/>
      <w:color w:val="000000"/>
      <w:sz w:val="36"/>
      <w:szCs w:val="32"/>
    </w:rPr>
  </w:style>
  <w:style w:type="paragraph" w:customStyle="1" w:styleId="HB">
    <w:name w:val="HB"/>
    <w:rsid w:val="006F335D"/>
    <w:pPr>
      <w:spacing w:before="120" w:after="240"/>
      <w:jc w:val="center"/>
    </w:pPr>
    <w:rPr>
      <w:rFonts w:ascii="Helvetica LT Std" w:hAnsi="Helvetica LT Std"/>
      <w:b/>
      <w:color w:val="333333"/>
      <w:w w:val="105"/>
      <w:sz w:val="32"/>
    </w:rPr>
  </w:style>
  <w:style w:type="paragraph" w:customStyle="1" w:styleId="HC">
    <w:name w:val="HC"/>
    <w:autoRedefine/>
    <w:rsid w:val="006F335D"/>
    <w:pPr>
      <w:tabs>
        <w:tab w:val="left" w:pos="284"/>
      </w:tabs>
      <w:spacing w:before="120" w:after="120"/>
      <w:jc w:val="center"/>
    </w:pPr>
    <w:rPr>
      <w:rFonts w:ascii="Helvetica LT Std" w:hAnsi="Helvetica LT Std"/>
      <w:b/>
      <w:color w:val="000000"/>
      <w:w w:val="110"/>
      <w:sz w:val="26"/>
    </w:rPr>
  </w:style>
  <w:style w:type="paragraph" w:customStyle="1" w:styleId="PR">
    <w:name w:val="PR"/>
    <w:rsid w:val="006F335D"/>
    <w:pPr>
      <w:spacing w:after="240"/>
      <w:ind w:left="360" w:firstLine="288"/>
      <w:jc w:val="both"/>
    </w:pPr>
    <w:rPr>
      <w:rFonts w:ascii="Adobe Caslon Pro" w:hAnsi="Adobe Caslon Pro"/>
      <w:color w:val="000000"/>
      <w:sz w:val="14"/>
    </w:rPr>
  </w:style>
  <w:style w:type="paragraph" w:customStyle="1" w:styleId="PO">
    <w:name w:val="PO"/>
    <w:rsid w:val="006F335D"/>
    <w:pPr>
      <w:spacing w:after="240"/>
      <w:jc w:val="both"/>
    </w:pPr>
    <w:rPr>
      <w:rFonts w:ascii="Perpetua Std" w:hAnsi="Perpetua Std"/>
      <w:color w:val="000000"/>
      <w:w w:val="95"/>
      <w:szCs w:val="16"/>
    </w:rPr>
  </w:style>
  <w:style w:type="paragraph" w:customStyle="1" w:styleId="GUIDEX">
    <w:name w:val="GUIDEX"/>
    <w:rsid w:val="006F335D"/>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6F335D"/>
    <w:pPr>
      <w:tabs>
        <w:tab w:val="clear" w:pos="240"/>
        <w:tab w:val="clear" w:pos="480"/>
        <w:tab w:val="clear" w:pos="720"/>
        <w:tab w:val="right" w:pos="4680"/>
      </w:tabs>
    </w:pPr>
  </w:style>
  <w:style w:type="paragraph" w:customStyle="1" w:styleId="PCB">
    <w:name w:val="PCB"/>
    <w:autoRedefine/>
    <w:rsid w:val="006F335D"/>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6F335D"/>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6F335D"/>
    <w:rPr>
      <w:rFonts w:ascii="Perpetua Std" w:hAnsi="Perpetua Std"/>
    </w:rPr>
  </w:style>
  <w:style w:type="paragraph" w:styleId="NoSpacing">
    <w:name w:val="No Spacing"/>
    <w:qFormat/>
    <w:rsid w:val="006F335D"/>
    <w:rPr>
      <w:rFonts w:ascii="Perpetua" w:hAnsi="Perpetua"/>
    </w:rPr>
  </w:style>
  <w:style w:type="paragraph" w:customStyle="1" w:styleId="PCA">
    <w:name w:val="PCA"/>
    <w:rsid w:val="006F335D"/>
    <w:pPr>
      <w:numPr>
        <w:numId w:val="22"/>
      </w:numPr>
      <w:tabs>
        <w:tab w:val="left" w:pos="720"/>
      </w:tabs>
      <w:spacing w:after="240"/>
      <w:jc w:val="both"/>
    </w:pPr>
    <w:rPr>
      <w:rFonts w:ascii="Perpetua Std" w:hAnsi="Perpetua Std"/>
      <w:sz w:val="24"/>
    </w:rPr>
  </w:style>
  <w:style w:type="paragraph" w:customStyle="1" w:styleId="PHB">
    <w:name w:val="PHB"/>
    <w:rsid w:val="006F335D"/>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6F335D"/>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6F335D"/>
    <w:rPr>
      <w:rFonts w:ascii="Perpetua Std" w:hAnsi="Perpetua Std"/>
    </w:rPr>
  </w:style>
  <w:style w:type="paragraph" w:styleId="Heading1">
    <w:name w:val="heading 1"/>
    <w:basedOn w:val="Normal"/>
    <w:next w:val="Normal"/>
    <w:link w:val="Heading1Char"/>
    <w:qFormat/>
    <w:rsid w:val="006F335D"/>
    <w:pPr>
      <w:keepNext/>
      <w:outlineLvl w:val="0"/>
    </w:pPr>
    <w:rPr>
      <w:b/>
    </w:rPr>
  </w:style>
  <w:style w:type="paragraph" w:styleId="Heading2">
    <w:name w:val="heading 2"/>
    <w:basedOn w:val="Normal"/>
    <w:next w:val="Normal"/>
    <w:link w:val="Heading2Char"/>
    <w:qFormat/>
    <w:rsid w:val="006F335D"/>
    <w:pPr>
      <w:keepNext/>
      <w:spacing w:before="240" w:after="60"/>
      <w:outlineLvl w:val="1"/>
    </w:pPr>
    <w:rPr>
      <w:rFonts w:ascii="Arial" w:hAnsi="Arial"/>
      <w:b/>
      <w:i/>
      <w:sz w:val="24"/>
    </w:rPr>
  </w:style>
  <w:style w:type="paragraph" w:styleId="Heading3">
    <w:name w:val="heading 3"/>
    <w:basedOn w:val="Normal"/>
    <w:next w:val="Normal"/>
    <w:link w:val="Heading3Char"/>
    <w:qFormat/>
    <w:rsid w:val="006F335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35D"/>
    <w:pPr>
      <w:tabs>
        <w:tab w:val="center" w:pos="4320"/>
        <w:tab w:val="right" w:pos="8640"/>
      </w:tabs>
    </w:pPr>
  </w:style>
  <w:style w:type="paragraph" w:styleId="Header">
    <w:name w:val="header"/>
    <w:basedOn w:val="Normal"/>
    <w:rsid w:val="006F335D"/>
    <w:pPr>
      <w:tabs>
        <w:tab w:val="center" w:pos="4320"/>
        <w:tab w:val="right" w:pos="8640"/>
      </w:tabs>
    </w:pPr>
  </w:style>
  <w:style w:type="paragraph" w:customStyle="1" w:styleId="Standard">
    <w:name w:val="Standard"/>
    <w:rsid w:val="006F335D"/>
    <w:pPr>
      <w:spacing w:before="144"/>
      <w:jc w:val="both"/>
    </w:pPr>
    <w:rPr>
      <w:noProof/>
    </w:rPr>
  </w:style>
  <w:style w:type="paragraph" w:customStyle="1" w:styleId="PA">
    <w:name w:val="PA"/>
    <w:next w:val="Normal"/>
    <w:link w:val="PAChar"/>
    <w:rsid w:val="006F335D"/>
    <w:pPr>
      <w:spacing w:after="240"/>
      <w:ind w:firstLine="288"/>
      <w:jc w:val="both"/>
    </w:pPr>
    <w:rPr>
      <w:rFonts w:ascii="Perpetua Std" w:hAnsi="Perpetua Std"/>
      <w:color w:val="000000"/>
      <w:sz w:val="24"/>
    </w:rPr>
  </w:style>
  <w:style w:type="character" w:customStyle="1" w:styleId="PAChar">
    <w:name w:val="PA Char"/>
    <w:link w:val="PA"/>
    <w:rsid w:val="006F335D"/>
    <w:rPr>
      <w:rFonts w:ascii="Perpetua Std" w:hAnsi="Perpetua Std"/>
      <w:color w:val="000000"/>
      <w:sz w:val="24"/>
    </w:rPr>
  </w:style>
  <w:style w:type="paragraph" w:customStyle="1" w:styleId="PB">
    <w:name w:val="PB"/>
    <w:rsid w:val="006F335D"/>
    <w:pPr>
      <w:spacing w:after="240"/>
      <w:jc w:val="both"/>
    </w:pPr>
    <w:rPr>
      <w:rFonts w:ascii="Perpetua Std" w:hAnsi="Perpetua Std"/>
      <w:color w:val="000000"/>
      <w:sz w:val="24"/>
    </w:rPr>
  </w:style>
  <w:style w:type="paragraph" w:customStyle="1" w:styleId="PC">
    <w:name w:val="PC"/>
    <w:rsid w:val="006F335D"/>
    <w:pPr>
      <w:tabs>
        <w:tab w:val="left" w:pos="720"/>
      </w:tabs>
      <w:spacing w:after="240"/>
      <w:ind w:left="720" w:hanging="360"/>
      <w:jc w:val="both"/>
    </w:pPr>
    <w:rPr>
      <w:rFonts w:ascii="Perpetua Std" w:hAnsi="Perpetua Std"/>
      <w:color w:val="000000"/>
      <w:sz w:val="24"/>
    </w:rPr>
  </w:style>
  <w:style w:type="paragraph" w:customStyle="1" w:styleId="PD">
    <w:name w:val="PD"/>
    <w:rsid w:val="006F335D"/>
    <w:pPr>
      <w:spacing w:after="240"/>
      <w:ind w:left="720" w:firstLine="288"/>
      <w:jc w:val="both"/>
    </w:pPr>
    <w:rPr>
      <w:rFonts w:ascii="Perpetua Std" w:hAnsi="Perpetua Std"/>
      <w:color w:val="000000"/>
      <w:sz w:val="24"/>
    </w:rPr>
  </w:style>
  <w:style w:type="paragraph" w:customStyle="1" w:styleId="PE">
    <w:name w:val="PE"/>
    <w:rsid w:val="006F335D"/>
    <w:pPr>
      <w:spacing w:after="240"/>
      <w:ind w:left="720"/>
      <w:jc w:val="both"/>
    </w:pPr>
    <w:rPr>
      <w:rFonts w:ascii="Perpetua Std" w:hAnsi="Perpetua Std"/>
      <w:color w:val="000000"/>
      <w:sz w:val="24"/>
    </w:rPr>
  </w:style>
  <w:style w:type="paragraph" w:customStyle="1" w:styleId="PF">
    <w:name w:val="PF"/>
    <w:rsid w:val="006F335D"/>
    <w:pPr>
      <w:tabs>
        <w:tab w:val="left" w:pos="1080"/>
      </w:tabs>
      <w:spacing w:after="240"/>
      <w:ind w:left="1080" w:hanging="360"/>
      <w:jc w:val="both"/>
    </w:pPr>
    <w:rPr>
      <w:rFonts w:ascii="Perpetua Std" w:hAnsi="Perpetua Std"/>
      <w:color w:val="000000"/>
      <w:sz w:val="24"/>
    </w:rPr>
  </w:style>
  <w:style w:type="paragraph" w:customStyle="1" w:styleId="PG">
    <w:name w:val="PG"/>
    <w:rsid w:val="006F335D"/>
    <w:pPr>
      <w:spacing w:after="240"/>
      <w:ind w:left="360"/>
      <w:jc w:val="both"/>
    </w:pPr>
    <w:rPr>
      <w:rFonts w:ascii="Perpetua Std" w:hAnsi="Perpetua Std"/>
      <w:color w:val="000000"/>
      <w:sz w:val="24"/>
    </w:rPr>
  </w:style>
  <w:style w:type="paragraph" w:customStyle="1" w:styleId="PH">
    <w:name w:val="PH"/>
    <w:rsid w:val="006F335D"/>
    <w:pPr>
      <w:tabs>
        <w:tab w:val="left" w:pos="360"/>
      </w:tabs>
      <w:spacing w:after="240"/>
      <w:ind w:left="360" w:hanging="360"/>
      <w:jc w:val="both"/>
    </w:pPr>
    <w:rPr>
      <w:rFonts w:ascii="Perpetua Std" w:hAnsi="Perpetua Std"/>
      <w:color w:val="000000"/>
      <w:sz w:val="24"/>
    </w:rPr>
  </w:style>
  <w:style w:type="paragraph" w:customStyle="1" w:styleId="PI">
    <w:name w:val="PI"/>
    <w:rsid w:val="006F335D"/>
    <w:pPr>
      <w:spacing w:after="240"/>
      <w:ind w:left="360" w:hanging="360"/>
      <w:jc w:val="both"/>
    </w:pPr>
    <w:rPr>
      <w:rFonts w:ascii="Perpetua Std" w:hAnsi="Perpetua Std"/>
      <w:color w:val="000000"/>
      <w:sz w:val="24"/>
    </w:rPr>
  </w:style>
  <w:style w:type="paragraph" w:customStyle="1" w:styleId="PK">
    <w:name w:val="PK"/>
    <w:rsid w:val="006F335D"/>
    <w:pPr>
      <w:spacing w:after="240"/>
      <w:ind w:left="360" w:firstLine="288"/>
      <w:jc w:val="both"/>
    </w:pPr>
    <w:rPr>
      <w:rFonts w:ascii="Perpetua Std" w:hAnsi="Perpetua Std"/>
      <w:color w:val="000000"/>
      <w:sz w:val="24"/>
    </w:rPr>
  </w:style>
  <w:style w:type="paragraph" w:customStyle="1" w:styleId="PL">
    <w:name w:val="PL"/>
    <w:rsid w:val="006F335D"/>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6F335D"/>
    <w:pPr>
      <w:spacing w:after="240"/>
      <w:ind w:left="432" w:right="432" w:firstLine="432"/>
      <w:jc w:val="both"/>
    </w:pPr>
    <w:rPr>
      <w:rFonts w:ascii="Minion Pro" w:hAnsi="Minion Pro"/>
    </w:rPr>
  </w:style>
  <w:style w:type="paragraph" w:customStyle="1" w:styleId="TOC">
    <w:name w:val="TOC"/>
    <w:autoRedefine/>
    <w:rsid w:val="006F335D"/>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6F335D"/>
    <w:pPr>
      <w:tabs>
        <w:tab w:val="clear" w:pos="1440"/>
        <w:tab w:val="clear" w:pos="8640"/>
        <w:tab w:val="left" w:pos="240"/>
        <w:tab w:val="left" w:pos="480"/>
        <w:tab w:val="right" w:leader="dot" w:pos="4680"/>
      </w:tabs>
      <w:ind w:left="0" w:firstLine="0"/>
    </w:pPr>
    <w:rPr>
      <w:sz w:val="22"/>
    </w:rPr>
  </w:style>
  <w:style w:type="paragraph" w:customStyle="1" w:styleId="QU">
    <w:name w:val="QU"/>
    <w:rsid w:val="006F335D"/>
    <w:pPr>
      <w:spacing w:after="240"/>
      <w:jc w:val="both"/>
    </w:pPr>
    <w:rPr>
      <w:rFonts w:ascii="Helvetica LT Std" w:hAnsi="Helvetica LT Std"/>
      <w:b/>
      <w:color w:val="000000"/>
      <w:sz w:val="26"/>
    </w:rPr>
  </w:style>
  <w:style w:type="paragraph" w:customStyle="1" w:styleId="PQ">
    <w:name w:val="PQ"/>
    <w:link w:val="PQChar"/>
    <w:rsid w:val="006F335D"/>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6F335D"/>
    <w:rPr>
      <w:rFonts w:ascii="Adobe Caslon Pro" w:hAnsi="Adobe Caslon Pro"/>
      <w:color w:val="000000"/>
      <w:sz w:val="14"/>
    </w:rPr>
  </w:style>
  <w:style w:type="paragraph" w:customStyle="1" w:styleId="HD">
    <w:name w:val="HD"/>
    <w:rsid w:val="006F335D"/>
    <w:pPr>
      <w:suppressAutoHyphens/>
      <w:spacing w:before="120"/>
      <w:jc w:val="center"/>
    </w:pPr>
    <w:rPr>
      <w:rFonts w:ascii="Helvetica LT Std" w:hAnsi="Helvetica LT Std"/>
      <w:sz w:val="26"/>
      <w:szCs w:val="18"/>
    </w:rPr>
  </w:style>
  <w:style w:type="paragraph" w:customStyle="1" w:styleId="PP">
    <w:name w:val="PP"/>
    <w:rsid w:val="006F335D"/>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6F335D"/>
    <w:pPr>
      <w:spacing w:before="120" w:after="120"/>
      <w:jc w:val="center"/>
    </w:pPr>
    <w:rPr>
      <w:rFonts w:ascii="Helvetica LT Std" w:hAnsi="Helvetica LT Std"/>
      <w:sz w:val="24"/>
    </w:rPr>
  </w:style>
  <w:style w:type="paragraph" w:customStyle="1" w:styleId="PN">
    <w:name w:val="PN"/>
    <w:rsid w:val="006F335D"/>
    <w:pPr>
      <w:spacing w:after="240"/>
      <w:ind w:left="720" w:firstLine="288"/>
      <w:jc w:val="both"/>
    </w:pPr>
    <w:rPr>
      <w:rFonts w:ascii="Perpetua Std" w:eastAsia="MS Mincho" w:hAnsi="Perpetua Std"/>
      <w:color w:val="000000"/>
    </w:rPr>
  </w:style>
  <w:style w:type="table" w:styleId="TableGrid">
    <w:name w:val="Table Grid"/>
    <w:basedOn w:val="TableNormal"/>
    <w:rsid w:val="006F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6F335D"/>
    <w:rPr>
      <w:vertAlign w:val="superscript"/>
    </w:rPr>
  </w:style>
  <w:style w:type="paragraph" w:customStyle="1" w:styleId="HA">
    <w:name w:val="HA"/>
    <w:autoRedefine/>
    <w:rsid w:val="006F335D"/>
    <w:pPr>
      <w:spacing w:after="240"/>
      <w:jc w:val="center"/>
    </w:pPr>
    <w:rPr>
      <w:rFonts w:ascii="Helvetica LT Std" w:hAnsi="Helvetica LT Std"/>
      <w:b/>
      <w:caps/>
      <w:color w:val="000000"/>
      <w:sz w:val="36"/>
      <w:szCs w:val="32"/>
    </w:rPr>
  </w:style>
  <w:style w:type="paragraph" w:customStyle="1" w:styleId="HB">
    <w:name w:val="HB"/>
    <w:rsid w:val="006F335D"/>
    <w:pPr>
      <w:spacing w:before="120" w:after="240"/>
      <w:jc w:val="center"/>
    </w:pPr>
    <w:rPr>
      <w:rFonts w:ascii="Helvetica LT Std" w:hAnsi="Helvetica LT Std"/>
      <w:b/>
      <w:color w:val="333333"/>
      <w:w w:val="105"/>
      <w:sz w:val="32"/>
    </w:rPr>
  </w:style>
  <w:style w:type="paragraph" w:customStyle="1" w:styleId="HC">
    <w:name w:val="HC"/>
    <w:autoRedefine/>
    <w:rsid w:val="006F335D"/>
    <w:pPr>
      <w:tabs>
        <w:tab w:val="left" w:pos="284"/>
      </w:tabs>
      <w:spacing w:before="120" w:after="120"/>
      <w:jc w:val="center"/>
    </w:pPr>
    <w:rPr>
      <w:rFonts w:ascii="Helvetica LT Std" w:hAnsi="Helvetica LT Std"/>
      <w:b/>
      <w:color w:val="000000"/>
      <w:w w:val="110"/>
      <w:sz w:val="26"/>
    </w:rPr>
  </w:style>
  <w:style w:type="paragraph" w:customStyle="1" w:styleId="PR">
    <w:name w:val="PR"/>
    <w:rsid w:val="006F335D"/>
    <w:pPr>
      <w:spacing w:after="240"/>
      <w:ind w:left="360" w:firstLine="288"/>
      <w:jc w:val="both"/>
    </w:pPr>
    <w:rPr>
      <w:rFonts w:ascii="Adobe Caslon Pro" w:hAnsi="Adobe Caslon Pro"/>
      <w:color w:val="000000"/>
      <w:sz w:val="14"/>
    </w:rPr>
  </w:style>
  <w:style w:type="paragraph" w:customStyle="1" w:styleId="PO">
    <w:name w:val="PO"/>
    <w:rsid w:val="006F335D"/>
    <w:pPr>
      <w:spacing w:after="240"/>
      <w:jc w:val="both"/>
    </w:pPr>
    <w:rPr>
      <w:rFonts w:ascii="Perpetua Std" w:hAnsi="Perpetua Std"/>
      <w:color w:val="000000"/>
      <w:w w:val="95"/>
      <w:szCs w:val="16"/>
    </w:rPr>
  </w:style>
  <w:style w:type="paragraph" w:customStyle="1" w:styleId="GUIDEX">
    <w:name w:val="GUIDEX"/>
    <w:rsid w:val="006F335D"/>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6F335D"/>
    <w:pPr>
      <w:tabs>
        <w:tab w:val="clear" w:pos="240"/>
        <w:tab w:val="clear" w:pos="480"/>
        <w:tab w:val="clear" w:pos="720"/>
        <w:tab w:val="right" w:pos="4680"/>
      </w:tabs>
    </w:pPr>
  </w:style>
  <w:style w:type="paragraph" w:customStyle="1" w:styleId="PCB">
    <w:name w:val="PCB"/>
    <w:autoRedefine/>
    <w:rsid w:val="006F335D"/>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6F335D"/>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6F335D"/>
    <w:rPr>
      <w:rFonts w:ascii="Perpetua Std" w:hAnsi="Perpetua Std"/>
    </w:rPr>
  </w:style>
  <w:style w:type="paragraph" w:styleId="NoSpacing">
    <w:name w:val="No Spacing"/>
    <w:qFormat/>
    <w:rsid w:val="006F335D"/>
    <w:rPr>
      <w:rFonts w:ascii="Perpetua" w:hAnsi="Perpetua"/>
    </w:rPr>
  </w:style>
  <w:style w:type="paragraph" w:customStyle="1" w:styleId="PCA">
    <w:name w:val="PCA"/>
    <w:rsid w:val="006F335D"/>
    <w:pPr>
      <w:numPr>
        <w:numId w:val="22"/>
      </w:numPr>
      <w:tabs>
        <w:tab w:val="left" w:pos="720"/>
      </w:tabs>
      <w:spacing w:after="240"/>
      <w:jc w:val="both"/>
    </w:pPr>
    <w:rPr>
      <w:rFonts w:ascii="Perpetua Std" w:hAnsi="Perpetua Std"/>
      <w:sz w:val="24"/>
    </w:rPr>
  </w:style>
  <w:style w:type="paragraph" w:customStyle="1" w:styleId="PHB">
    <w:name w:val="PHB"/>
    <w:rsid w:val="006F335D"/>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6F335D"/>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8594. When can a taxpayer postpone recognition of gain from a sale of stock in a specialized small business investment company?</vt:lpstr>
    </vt:vector>
  </TitlesOfParts>
  <Company>National Underwriter</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8594. When can a taxpayer postpone recognition of gain from a sale of stock in a specialized small business investment company?</dc:title>
  <dc:creator>cjump</dc:creator>
  <cp:lastModifiedBy>rcline</cp:lastModifiedBy>
  <cp:revision>2</cp:revision>
  <dcterms:created xsi:type="dcterms:W3CDTF">2014-08-21T16:50:00Z</dcterms:created>
  <dcterms:modified xsi:type="dcterms:W3CDTF">2014-08-21T16:50:00Z</dcterms:modified>
</cp:coreProperties>
</file>