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E78" w:rsidRPr="00EF4E78" w:rsidRDefault="00E364A5" w:rsidP="00351992">
      <w:pPr>
        <w:pStyle w:val="PA"/>
        <w:rPr>
          <w:b/>
          <w:sz w:val="28"/>
          <w:szCs w:val="28"/>
        </w:rPr>
      </w:pPr>
      <w:r>
        <w:rPr>
          <w:b/>
          <w:sz w:val="28"/>
          <w:szCs w:val="28"/>
        </w:rPr>
        <w:t xml:space="preserve">8591.  What are the requirements to </w:t>
      </w:r>
      <w:r w:rsidR="00EF4E78" w:rsidRPr="00EF4E78">
        <w:rPr>
          <w:b/>
          <w:sz w:val="28"/>
          <w:szCs w:val="28"/>
        </w:rPr>
        <w:t xml:space="preserve">exclude </w:t>
      </w:r>
      <w:r>
        <w:rPr>
          <w:b/>
          <w:sz w:val="28"/>
          <w:szCs w:val="28"/>
        </w:rPr>
        <w:t xml:space="preserve">50 percent of the </w:t>
      </w:r>
      <w:r w:rsidR="00EF4E78" w:rsidRPr="00EF4E78">
        <w:rPr>
          <w:b/>
          <w:sz w:val="28"/>
          <w:szCs w:val="28"/>
        </w:rPr>
        <w:t xml:space="preserve">gain on the sale of </w:t>
      </w:r>
      <w:r>
        <w:rPr>
          <w:b/>
          <w:sz w:val="28"/>
          <w:szCs w:val="28"/>
        </w:rPr>
        <w:t xml:space="preserve">qualified </w:t>
      </w:r>
      <w:r w:rsidR="00EF4E78" w:rsidRPr="00EF4E78">
        <w:rPr>
          <w:b/>
          <w:sz w:val="28"/>
          <w:szCs w:val="28"/>
        </w:rPr>
        <w:t>small business stock</w:t>
      </w:r>
      <w:r>
        <w:rPr>
          <w:b/>
          <w:sz w:val="28"/>
          <w:szCs w:val="28"/>
        </w:rPr>
        <w:t>?</w:t>
      </w:r>
    </w:p>
    <w:p w:rsidR="0012141A" w:rsidRDefault="00351992" w:rsidP="00351992">
      <w:pPr>
        <w:pStyle w:val="PA"/>
      </w:pPr>
      <w:r w:rsidRPr="005A0D6E">
        <w:t xml:space="preserve">If certain requirements are met, </w:t>
      </w:r>
      <w:r w:rsidRPr="00A2342A">
        <w:t>a noncorporate taxpayer (including certain partnerships and S corporations) m</w:t>
      </w:r>
      <w:r>
        <w:t>ay exclude from gross income 50 percent</w:t>
      </w:r>
      <w:r w:rsidRPr="00A2342A">
        <w:t xml:space="preserve"> of any gain from the sale or exchange of </w:t>
      </w:r>
      <w:r w:rsidRPr="00A2342A">
        <w:rPr>
          <w:iCs/>
        </w:rPr>
        <w:t>qualified small business stock</w:t>
      </w:r>
      <w:r w:rsidRPr="00A2342A">
        <w:t xml:space="preserve"> held for more than five years.</w:t>
      </w:r>
      <w:r>
        <w:rPr>
          <w:rStyle w:val="FootnoteReference"/>
        </w:rPr>
        <w:footnoteReference w:id="1"/>
      </w:r>
      <w:r w:rsidRPr="00A2342A">
        <w:t xml:space="preserve"> </w:t>
      </w:r>
      <w:r w:rsidR="0012141A">
        <w:t xml:space="preserve">  With certain exceptions, a qualifying small business is:</w:t>
      </w:r>
    </w:p>
    <w:p w:rsidR="00351992" w:rsidRDefault="0012141A" w:rsidP="0012141A">
      <w:pPr>
        <w:pStyle w:val="PA"/>
        <w:numPr>
          <w:ilvl w:val="0"/>
          <w:numId w:val="42"/>
        </w:numPr>
      </w:pPr>
      <w:r>
        <w:t>A C Corporation (excludes an S Corporation)</w:t>
      </w:r>
    </w:p>
    <w:p w:rsidR="0012141A" w:rsidRPr="00E364A5" w:rsidRDefault="00E364A5" w:rsidP="0012141A">
      <w:pPr>
        <w:numPr>
          <w:ilvl w:val="0"/>
          <w:numId w:val="42"/>
        </w:numPr>
      </w:pPr>
      <w:r>
        <w:rPr>
          <w:sz w:val="24"/>
          <w:szCs w:val="24"/>
        </w:rPr>
        <w:t>Any trade or business other than one involving the performance of legal, health, engineering, architecture, account, actuarial services, etc. or any other trade or business in which the principal asset is the skill or reputation of its employees</w:t>
      </w:r>
    </w:p>
    <w:p w:rsidR="00E364A5" w:rsidRPr="00E364A5" w:rsidRDefault="00E364A5" w:rsidP="00E364A5">
      <w:pPr>
        <w:ind w:left="1065"/>
      </w:pPr>
    </w:p>
    <w:p w:rsidR="00E364A5" w:rsidRDefault="00E364A5" w:rsidP="0012141A">
      <w:pPr>
        <w:numPr>
          <w:ilvl w:val="0"/>
          <w:numId w:val="42"/>
        </w:numPr>
        <w:rPr>
          <w:rFonts w:ascii="Times New Roman" w:hAnsi="Times New Roman"/>
          <w:sz w:val="22"/>
          <w:szCs w:val="22"/>
        </w:rPr>
      </w:pPr>
      <w:r w:rsidRPr="00E364A5">
        <w:rPr>
          <w:sz w:val="24"/>
          <w:szCs w:val="24"/>
        </w:rPr>
        <w:t>At least 80% of its assets by value must be used in the active conduct of a qualified trade or business</w:t>
      </w:r>
    </w:p>
    <w:p w:rsidR="00351992" w:rsidRDefault="00E364A5" w:rsidP="00E364A5">
      <w:pPr>
        <w:pStyle w:val="PA"/>
        <w:suppressAutoHyphens/>
      </w:pPr>
      <w:r>
        <w:br/>
        <w:t xml:space="preserve">        </w:t>
      </w:r>
      <w:r w:rsidR="00351992" w:rsidRPr="005A0D6E">
        <w:t>The aggregate amount of eligible gain from the disposition of qualified small business stock issued by one corporation that may be taken into account in a tax year may not exceed the greater of</w:t>
      </w:r>
      <w:r w:rsidR="00351992">
        <w:t xml:space="preserve"> the following amounts:</w:t>
      </w:r>
    </w:p>
    <w:p w:rsidR="00351992" w:rsidRDefault="00351992" w:rsidP="00351992">
      <w:pPr>
        <w:pStyle w:val="PC"/>
      </w:pPr>
      <w:r w:rsidRPr="005A0D6E">
        <w:t>(a)</w:t>
      </w:r>
      <w:r>
        <w:tab/>
      </w:r>
      <w:r w:rsidRPr="005A0D6E">
        <w:t>$10,000,000 ($5,000,000 in the case of married taxpayers filing separately) reduced by the aggregate amount of such gain taken into account in prior years</w:t>
      </w:r>
      <w:r>
        <w:t>;</w:t>
      </w:r>
      <w:r w:rsidRPr="005A0D6E">
        <w:t xml:space="preserve"> </w:t>
      </w:r>
      <w:r w:rsidRPr="005A0D6E">
        <w:rPr>
          <w:i/>
          <w:iCs/>
        </w:rPr>
        <w:t>or</w:t>
      </w:r>
      <w:r w:rsidRPr="005A0D6E">
        <w:t xml:space="preserve"> </w:t>
      </w:r>
    </w:p>
    <w:p w:rsidR="00351992" w:rsidRDefault="00351992" w:rsidP="00351992">
      <w:pPr>
        <w:pStyle w:val="PC"/>
      </w:pPr>
      <w:r w:rsidRPr="005A0D6E">
        <w:t>(b)</w:t>
      </w:r>
      <w:r>
        <w:tab/>
      </w:r>
      <w:r w:rsidRPr="005A0D6E">
        <w:t>10 times the aggregate bases of qualified stock of the issuer disposed of during the tax year</w:t>
      </w:r>
      <w:r>
        <w:t>.</w:t>
      </w:r>
    </w:p>
    <w:p w:rsidR="00351992" w:rsidRDefault="00351992" w:rsidP="00351992">
      <w:pPr>
        <w:pStyle w:val="PA"/>
      </w:pPr>
      <w:r w:rsidRPr="005A0D6E">
        <w:t>For purposes of the limitation in (b), the adjusted basis of any qualified stock will not include any additions to basis occurring after the stock was issued.</w:t>
      </w:r>
      <w:r>
        <w:rPr>
          <w:rStyle w:val="FootnoteReference"/>
        </w:rPr>
        <w:footnoteReference w:id="2"/>
      </w:r>
    </w:p>
    <w:p w:rsidR="00351992" w:rsidRDefault="00351992" w:rsidP="00351992">
      <w:pPr>
        <w:pStyle w:val="PA"/>
      </w:pPr>
      <w:r w:rsidRPr="005A0D6E">
        <w:t>Gain realized by a partner, shareholder, or other participant that is attributable to a disposition of qualified small business stock held by a pass-through entity (i.e., a partnership, S corporation, regulated investment company, or common trust fund) is eligible for the exclusion if the entity held the stock for more than five years, and if the taxpayer held an interest in the pass-through entity at the time of acquisition and at all times since the acquisition of the stock.</w:t>
      </w:r>
      <w:r>
        <w:rPr>
          <w:rStyle w:val="FootnoteReference"/>
        </w:rPr>
        <w:footnoteReference w:id="3"/>
      </w:r>
    </w:p>
    <w:p w:rsidR="00E364A5" w:rsidRPr="00E364A5" w:rsidRDefault="00E364A5" w:rsidP="00E364A5">
      <w:pPr>
        <w:rPr>
          <w:sz w:val="24"/>
          <w:szCs w:val="24"/>
        </w:rPr>
      </w:pPr>
      <w:r>
        <w:rPr>
          <w:sz w:val="24"/>
          <w:szCs w:val="24"/>
        </w:rPr>
        <w:t xml:space="preserve">      Significantly, a taxpayer is not entitled to the section 1202 50% exclusion as well as the reduced capital gains rates (15% and 20%).  Instead, the tax rate </w:t>
      </w:r>
      <w:r w:rsidR="001D01FD">
        <w:rPr>
          <w:sz w:val="24"/>
          <w:szCs w:val="24"/>
        </w:rPr>
        <w:t>is subject</w:t>
      </w:r>
      <w:r w:rsidR="00410787">
        <w:rPr>
          <w:sz w:val="24"/>
          <w:szCs w:val="24"/>
        </w:rPr>
        <w:t xml:space="preserve"> to a maximum rate of 28%.  C</w:t>
      </w:r>
      <w:bookmarkStart w:id="0" w:name="_GoBack"/>
      <w:bookmarkEnd w:id="0"/>
      <w:r w:rsidR="001D01FD">
        <w:rPr>
          <w:sz w:val="24"/>
          <w:szCs w:val="24"/>
        </w:rPr>
        <w:t>oupled with the 50% exclusion, the actual maximum effective rate on the gain is 14%.</w:t>
      </w:r>
    </w:p>
    <w:p w:rsidR="00E364A5" w:rsidRPr="00E364A5" w:rsidRDefault="00E364A5" w:rsidP="00E364A5"/>
    <w:p w:rsidR="00351992" w:rsidRDefault="00351992" w:rsidP="00351992">
      <w:pPr>
        <w:pStyle w:val="PA"/>
      </w:pPr>
      <w:r w:rsidRPr="005A0D6E">
        <w:lastRenderedPageBreak/>
        <w:t>Any gain excluded under IRC Section 1202 by a married couple filing jointly must be allocated equally between the spouses for purposes of claiming the exclusion in subsequent tax years.</w:t>
      </w:r>
      <w:r>
        <w:rPr>
          <w:rStyle w:val="FootnoteReference"/>
        </w:rPr>
        <w:footnoteReference w:id="4"/>
      </w:r>
    </w:p>
    <w:p w:rsidR="00351992" w:rsidRDefault="00351992" w:rsidP="00351992">
      <w:pPr>
        <w:pStyle w:val="PA"/>
      </w:pPr>
      <w:r w:rsidRPr="005A0D6E">
        <w:t>Special rules apply to IRC Section 1202 stock for alternative minimum tax</w:t>
      </w:r>
      <w:r>
        <w:t xml:space="preserve"> purposes (see </w:t>
      </w:r>
      <w:r w:rsidR="00ED210D">
        <w:t>Q</w:t>
      </w:r>
      <w:r w:rsidR="0081788A">
        <w:t xml:space="preserve"> </w:t>
      </w:r>
      <w:r w:rsidR="00ED210D">
        <w:t>8537</w:t>
      </w:r>
      <w:r>
        <w:t xml:space="preserve"> to Q </w:t>
      </w:r>
      <w:r w:rsidR="0081788A">
        <w:t>85</w:t>
      </w:r>
      <w:r>
        <w:t>40 for a discussion of the AMT). An amount equal to 7 percent</w:t>
      </w:r>
      <w:r w:rsidRPr="005A0D6E">
        <w:t xml:space="preserve"> of the amount excluded from gross income for the taxable year under IRC Section 1202 will be treated as a preference item.</w:t>
      </w:r>
      <w:r>
        <w:rPr>
          <w:rStyle w:val="FootnoteReference"/>
        </w:rPr>
        <w:footnoteReference w:id="5"/>
      </w:r>
    </w:p>
    <w:p w:rsidR="00844CAC" w:rsidRPr="00351992" w:rsidRDefault="00844CAC" w:rsidP="00351992"/>
    <w:sectPr w:rsidR="00844CAC" w:rsidRPr="00351992" w:rsidSect="00926047">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2EB" w:rsidRDefault="00C402EB">
      <w:r>
        <w:separator/>
      </w:r>
    </w:p>
  </w:endnote>
  <w:endnote w:type="continuationSeparator" w:id="0">
    <w:p w:rsidR="00C402EB" w:rsidRDefault="00C4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2EB" w:rsidRDefault="00C402EB">
      <w:r>
        <w:separator/>
      </w:r>
    </w:p>
  </w:footnote>
  <w:footnote w:type="continuationSeparator" w:id="0">
    <w:p w:rsidR="00C402EB" w:rsidRDefault="00C402EB">
      <w:r>
        <w:continuationSeparator/>
      </w:r>
    </w:p>
  </w:footnote>
  <w:footnote w:id="1">
    <w:p w:rsidR="00351992" w:rsidRPr="00B4630A" w:rsidRDefault="00351992" w:rsidP="00351992">
      <w:pPr>
        <w:pStyle w:val="PQ"/>
      </w:pPr>
      <w:r w:rsidRPr="00B4630A">
        <w:rPr>
          <w:rStyle w:val="FootnoteReference"/>
          <w:vertAlign w:val="baseline"/>
        </w:rPr>
        <w:footnoteRef/>
      </w:r>
      <w:r w:rsidRPr="00B4630A">
        <w:t>.</w:t>
      </w:r>
      <w:r w:rsidRPr="00B4630A">
        <w:tab/>
        <w:t>IRC Sec. 1202, as amended by ARRA 2009. See also IRC Sec. 1(h</w:t>
      </w:r>
      <w:proofErr w:type="gramStart"/>
      <w:r w:rsidRPr="00B4630A">
        <w:t>)(</w:t>
      </w:r>
      <w:proofErr w:type="gramEnd"/>
      <w:r w:rsidRPr="00B4630A">
        <w:t>7).</w:t>
      </w:r>
    </w:p>
  </w:footnote>
  <w:footnote w:id="2">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1202(b</w:t>
      </w:r>
      <w:proofErr w:type="gramEnd"/>
      <w:r w:rsidRPr="00B4630A">
        <w:t>).</w:t>
      </w:r>
    </w:p>
  </w:footnote>
  <w:footnote w:id="3">
    <w:p w:rsidR="00351992" w:rsidRPr="00B4630A" w:rsidRDefault="00351992" w:rsidP="00351992">
      <w:pPr>
        <w:pStyle w:val="PQ"/>
      </w:pPr>
      <w:r w:rsidRPr="00B4630A">
        <w:rPr>
          <w:rStyle w:val="FootnoteReference"/>
          <w:vertAlign w:val="baseline"/>
        </w:rPr>
        <w:footnoteRef/>
      </w:r>
      <w:r w:rsidRPr="00B4630A">
        <w:t>.</w:t>
      </w:r>
      <w:r w:rsidRPr="00B4630A">
        <w:tab/>
        <w:t xml:space="preserve">IRC Sec. </w:t>
      </w:r>
      <w:proofErr w:type="gramStart"/>
      <w:r w:rsidRPr="00B4630A">
        <w:t>1202(g</w:t>
      </w:r>
      <w:proofErr w:type="gramEnd"/>
      <w:r w:rsidRPr="00B4630A">
        <w:t>).</w:t>
      </w:r>
    </w:p>
  </w:footnote>
  <w:footnote w:id="4">
    <w:p w:rsidR="00351992" w:rsidRPr="00B4630A" w:rsidRDefault="00351992" w:rsidP="00351992">
      <w:pPr>
        <w:pStyle w:val="PQ"/>
      </w:pPr>
      <w:r w:rsidRPr="00B4630A">
        <w:rPr>
          <w:rStyle w:val="FootnoteReference"/>
          <w:vertAlign w:val="baseline"/>
        </w:rPr>
        <w:footnoteRef/>
      </w:r>
      <w:r w:rsidRPr="00B4630A">
        <w:t>.</w:t>
      </w:r>
      <w:r w:rsidRPr="00B4630A">
        <w:tab/>
        <w:t>IRC Sec. 1202(b</w:t>
      </w:r>
      <w:proofErr w:type="gramStart"/>
      <w:r w:rsidRPr="00B4630A">
        <w:t>)(</w:t>
      </w:r>
      <w:proofErr w:type="gramEnd"/>
      <w:r w:rsidRPr="00B4630A">
        <w:t>3)(B).</w:t>
      </w:r>
    </w:p>
  </w:footnote>
  <w:footnote w:id="5">
    <w:p w:rsidR="00351992" w:rsidRPr="00B4630A" w:rsidRDefault="00351992" w:rsidP="00351992">
      <w:pPr>
        <w:pStyle w:val="PQ"/>
      </w:pPr>
      <w:r w:rsidRPr="00B4630A">
        <w:rPr>
          <w:rStyle w:val="FootnoteReference"/>
          <w:vertAlign w:val="baseline"/>
        </w:rPr>
        <w:footnoteRef/>
      </w:r>
      <w:r w:rsidRPr="00B4630A">
        <w:t>.</w:t>
      </w:r>
      <w:r w:rsidRPr="00B4630A">
        <w:tab/>
        <w:t>IRC Sec. 57(a</w:t>
      </w:r>
      <w:proofErr w:type="gramStart"/>
      <w:r w:rsidRPr="00B4630A">
        <w:t>)(</w:t>
      </w:r>
      <w:proofErr w:type="gramEnd"/>
      <w:r w:rsidRPr="00B4630A">
        <w:t>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FF2EF8"/>
    <w:multiLevelType w:val="hybridMultilevel"/>
    <w:tmpl w:val="B1D8376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7">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20"/>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7"/>
  </w:num>
  <w:num w:numId="16">
    <w:abstractNumId w:val="17"/>
  </w:num>
  <w:num w:numId="17">
    <w:abstractNumId w:val="1"/>
  </w:num>
  <w:num w:numId="18">
    <w:abstractNumId w:val="17"/>
  </w:num>
  <w:num w:numId="19">
    <w:abstractNumId w:val="1"/>
  </w:num>
  <w:num w:numId="20">
    <w:abstractNumId w:val="1"/>
  </w:num>
  <w:num w:numId="21">
    <w:abstractNumId w:val="17"/>
  </w:num>
  <w:num w:numId="22">
    <w:abstractNumId w:val="19"/>
  </w:num>
  <w:num w:numId="23">
    <w:abstractNumId w:val="19"/>
  </w:num>
  <w:num w:numId="24">
    <w:abstractNumId w:val="11"/>
  </w:num>
  <w:num w:numId="25">
    <w:abstractNumId w:val="19"/>
  </w:num>
  <w:num w:numId="26">
    <w:abstractNumId w:val="19"/>
  </w:num>
  <w:num w:numId="27">
    <w:abstractNumId w:val="19"/>
  </w:num>
  <w:num w:numId="28">
    <w:abstractNumId w:val="19"/>
  </w:num>
  <w:num w:numId="29">
    <w:abstractNumId w:val="11"/>
  </w:num>
  <w:num w:numId="30">
    <w:abstractNumId w:val="19"/>
  </w:num>
  <w:num w:numId="31">
    <w:abstractNumId w:val="19"/>
  </w:num>
  <w:num w:numId="32">
    <w:abstractNumId w:val="19"/>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8"/>
  </w:num>
  <w:num w:numId="40">
    <w:abstractNumId w:val="7"/>
  </w:num>
  <w:num w:numId="41">
    <w:abstractNumId w:val="3"/>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41A"/>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373"/>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4ED8"/>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01FD"/>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0CE"/>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9BD"/>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94"/>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8CA"/>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68E"/>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5F2"/>
    <w:rsid w:val="00404D02"/>
    <w:rsid w:val="00404F08"/>
    <w:rsid w:val="00404FCC"/>
    <w:rsid w:val="00405883"/>
    <w:rsid w:val="00405CDE"/>
    <w:rsid w:val="00406722"/>
    <w:rsid w:val="004067F5"/>
    <w:rsid w:val="004075B0"/>
    <w:rsid w:val="00407A2F"/>
    <w:rsid w:val="00407F90"/>
    <w:rsid w:val="004101FC"/>
    <w:rsid w:val="004103F6"/>
    <w:rsid w:val="00410787"/>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0D9F"/>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1D58"/>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56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36A"/>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659"/>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0F09"/>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0E28"/>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6DC8"/>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88A"/>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720"/>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57"/>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047"/>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BA5"/>
    <w:rsid w:val="0094762D"/>
    <w:rsid w:val="00947812"/>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7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85"/>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77E"/>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971"/>
    <w:rsid w:val="00BB4B81"/>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07C8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BEE"/>
    <w:rsid w:val="00C36FCB"/>
    <w:rsid w:val="00C3799B"/>
    <w:rsid w:val="00C4001D"/>
    <w:rsid w:val="00C402EB"/>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AE8"/>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841"/>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2FE"/>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71F"/>
    <w:rsid w:val="00E30E7F"/>
    <w:rsid w:val="00E316E2"/>
    <w:rsid w:val="00E316F5"/>
    <w:rsid w:val="00E317D5"/>
    <w:rsid w:val="00E31E54"/>
    <w:rsid w:val="00E328B8"/>
    <w:rsid w:val="00E3297A"/>
    <w:rsid w:val="00E32F89"/>
    <w:rsid w:val="00E33014"/>
    <w:rsid w:val="00E33602"/>
    <w:rsid w:val="00E3419B"/>
    <w:rsid w:val="00E357B1"/>
    <w:rsid w:val="00E35EE2"/>
    <w:rsid w:val="00E364A5"/>
    <w:rsid w:val="00E3697E"/>
    <w:rsid w:val="00E36BA0"/>
    <w:rsid w:val="00E36BD9"/>
    <w:rsid w:val="00E36D3E"/>
    <w:rsid w:val="00E36F7D"/>
    <w:rsid w:val="00E3729A"/>
    <w:rsid w:val="00E37AD7"/>
    <w:rsid w:val="00E37BA8"/>
    <w:rsid w:val="00E40210"/>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AD6"/>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10D"/>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4E78"/>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365"/>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CB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81788A"/>
    <w:rPr>
      <w:rFonts w:ascii="Perpetua Std" w:hAnsi="Perpetua Std"/>
    </w:rPr>
  </w:style>
  <w:style w:type="paragraph" w:styleId="Heading1">
    <w:name w:val="heading 1"/>
    <w:basedOn w:val="Normal"/>
    <w:next w:val="Normal"/>
    <w:link w:val="Heading1Char"/>
    <w:qFormat/>
    <w:rsid w:val="0081788A"/>
    <w:pPr>
      <w:keepNext/>
      <w:outlineLvl w:val="0"/>
    </w:pPr>
    <w:rPr>
      <w:b/>
    </w:rPr>
  </w:style>
  <w:style w:type="paragraph" w:styleId="Heading2">
    <w:name w:val="heading 2"/>
    <w:basedOn w:val="Normal"/>
    <w:next w:val="Normal"/>
    <w:link w:val="Heading2Char"/>
    <w:qFormat/>
    <w:rsid w:val="0081788A"/>
    <w:pPr>
      <w:keepNext/>
      <w:spacing w:before="240" w:after="60"/>
      <w:outlineLvl w:val="1"/>
    </w:pPr>
    <w:rPr>
      <w:rFonts w:ascii="Arial" w:hAnsi="Arial"/>
      <w:b/>
      <w:i/>
      <w:sz w:val="24"/>
    </w:rPr>
  </w:style>
  <w:style w:type="paragraph" w:styleId="Heading3">
    <w:name w:val="heading 3"/>
    <w:basedOn w:val="Normal"/>
    <w:next w:val="Normal"/>
    <w:link w:val="Heading3Char"/>
    <w:qFormat/>
    <w:rsid w:val="0081788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788A"/>
    <w:pPr>
      <w:tabs>
        <w:tab w:val="center" w:pos="4320"/>
        <w:tab w:val="right" w:pos="8640"/>
      </w:tabs>
    </w:pPr>
  </w:style>
  <w:style w:type="paragraph" w:styleId="Header">
    <w:name w:val="header"/>
    <w:basedOn w:val="Normal"/>
    <w:rsid w:val="0081788A"/>
    <w:pPr>
      <w:tabs>
        <w:tab w:val="center" w:pos="4320"/>
        <w:tab w:val="right" w:pos="8640"/>
      </w:tabs>
    </w:pPr>
  </w:style>
  <w:style w:type="paragraph" w:customStyle="1" w:styleId="Standard">
    <w:name w:val="Standard"/>
    <w:rsid w:val="0081788A"/>
    <w:pPr>
      <w:spacing w:before="144"/>
      <w:jc w:val="both"/>
    </w:pPr>
    <w:rPr>
      <w:noProof/>
    </w:rPr>
  </w:style>
  <w:style w:type="paragraph" w:customStyle="1" w:styleId="PA">
    <w:name w:val="PA"/>
    <w:next w:val="Normal"/>
    <w:link w:val="PAChar"/>
    <w:rsid w:val="0081788A"/>
    <w:pPr>
      <w:spacing w:after="240"/>
      <w:ind w:firstLine="288"/>
      <w:jc w:val="both"/>
    </w:pPr>
    <w:rPr>
      <w:rFonts w:ascii="Perpetua Std" w:hAnsi="Perpetua Std"/>
      <w:color w:val="000000"/>
      <w:sz w:val="24"/>
    </w:rPr>
  </w:style>
  <w:style w:type="character" w:customStyle="1" w:styleId="PAChar">
    <w:name w:val="PA Char"/>
    <w:link w:val="PA"/>
    <w:rsid w:val="0081788A"/>
    <w:rPr>
      <w:rFonts w:ascii="Perpetua Std" w:hAnsi="Perpetua Std"/>
      <w:color w:val="000000"/>
      <w:sz w:val="24"/>
    </w:rPr>
  </w:style>
  <w:style w:type="paragraph" w:customStyle="1" w:styleId="PB">
    <w:name w:val="PB"/>
    <w:rsid w:val="0081788A"/>
    <w:pPr>
      <w:spacing w:after="240"/>
      <w:jc w:val="both"/>
    </w:pPr>
    <w:rPr>
      <w:rFonts w:ascii="Perpetua Std" w:hAnsi="Perpetua Std"/>
      <w:color w:val="000000"/>
      <w:sz w:val="24"/>
    </w:rPr>
  </w:style>
  <w:style w:type="paragraph" w:customStyle="1" w:styleId="PC">
    <w:name w:val="PC"/>
    <w:rsid w:val="0081788A"/>
    <w:pPr>
      <w:tabs>
        <w:tab w:val="left" w:pos="720"/>
      </w:tabs>
      <w:spacing w:after="240"/>
      <w:ind w:left="720" w:hanging="360"/>
      <w:jc w:val="both"/>
    </w:pPr>
    <w:rPr>
      <w:rFonts w:ascii="Perpetua Std" w:hAnsi="Perpetua Std"/>
      <w:color w:val="000000"/>
      <w:sz w:val="24"/>
    </w:rPr>
  </w:style>
  <w:style w:type="paragraph" w:customStyle="1" w:styleId="PD">
    <w:name w:val="PD"/>
    <w:rsid w:val="0081788A"/>
    <w:pPr>
      <w:spacing w:after="240"/>
      <w:ind w:left="720" w:firstLine="288"/>
      <w:jc w:val="both"/>
    </w:pPr>
    <w:rPr>
      <w:rFonts w:ascii="Perpetua Std" w:hAnsi="Perpetua Std"/>
      <w:color w:val="000000"/>
      <w:sz w:val="24"/>
    </w:rPr>
  </w:style>
  <w:style w:type="paragraph" w:customStyle="1" w:styleId="PE">
    <w:name w:val="PE"/>
    <w:rsid w:val="0081788A"/>
    <w:pPr>
      <w:spacing w:after="240"/>
      <w:ind w:left="720"/>
      <w:jc w:val="both"/>
    </w:pPr>
    <w:rPr>
      <w:rFonts w:ascii="Perpetua Std" w:hAnsi="Perpetua Std"/>
      <w:color w:val="000000"/>
      <w:sz w:val="24"/>
    </w:rPr>
  </w:style>
  <w:style w:type="paragraph" w:customStyle="1" w:styleId="PF">
    <w:name w:val="PF"/>
    <w:rsid w:val="0081788A"/>
    <w:pPr>
      <w:tabs>
        <w:tab w:val="left" w:pos="1080"/>
      </w:tabs>
      <w:spacing w:after="240"/>
      <w:ind w:left="1080" w:hanging="360"/>
      <w:jc w:val="both"/>
    </w:pPr>
    <w:rPr>
      <w:rFonts w:ascii="Perpetua Std" w:hAnsi="Perpetua Std"/>
      <w:color w:val="000000"/>
      <w:sz w:val="24"/>
    </w:rPr>
  </w:style>
  <w:style w:type="paragraph" w:customStyle="1" w:styleId="PG">
    <w:name w:val="PG"/>
    <w:rsid w:val="0081788A"/>
    <w:pPr>
      <w:spacing w:after="240"/>
      <w:ind w:left="360"/>
      <w:jc w:val="both"/>
    </w:pPr>
    <w:rPr>
      <w:rFonts w:ascii="Perpetua Std" w:hAnsi="Perpetua Std"/>
      <w:color w:val="000000"/>
      <w:sz w:val="24"/>
    </w:rPr>
  </w:style>
  <w:style w:type="paragraph" w:customStyle="1" w:styleId="PH">
    <w:name w:val="PH"/>
    <w:rsid w:val="0081788A"/>
    <w:pPr>
      <w:tabs>
        <w:tab w:val="left" w:pos="360"/>
      </w:tabs>
      <w:spacing w:after="240"/>
      <w:ind w:left="360" w:hanging="360"/>
      <w:jc w:val="both"/>
    </w:pPr>
    <w:rPr>
      <w:rFonts w:ascii="Perpetua Std" w:hAnsi="Perpetua Std"/>
      <w:color w:val="000000"/>
      <w:sz w:val="24"/>
    </w:rPr>
  </w:style>
  <w:style w:type="paragraph" w:customStyle="1" w:styleId="PI">
    <w:name w:val="PI"/>
    <w:rsid w:val="0081788A"/>
    <w:pPr>
      <w:spacing w:after="240"/>
      <w:ind w:left="360" w:hanging="360"/>
      <w:jc w:val="both"/>
    </w:pPr>
    <w:rPr>
      <w:rFonts w:ascii="Perpetua Std" w:hAnsi="Perpetua Std"/>
      <w:color w:val="000000"/>
      <w:sz w:val="24"/>
    </w:rPr>
  </w:style>
  <w:style w:type="paragraph" w:customStyle="1" w:styleId="PK">
    <w:name w:val="PK"/>
    <w:rsid w:val="0081788A"/>
    <w:pPr>
      <w:spacing w:after="240"/>
      <w:ind w:left="360" w:firstLine="288"/>
      <w:jc w:val="both"/>
    </w:pPr>
    <w:rPr>
      <w:rFonts w:ascii="Perpetua Std" w:hAnsi="Perpetua Std"/>
      <w:color w:val="000000"/>
      <w:sz w:val="24"/>
    </w:rPr>
  </w:style>
  <w:style w:type="paragraph" w:customStyle="1" w:styleId="PL">
    <w:name w:val="PL"/>
    <w:rsid w:val="0081788A"/>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81788A"/>
    <w:pPr>
      <w:spacing w:after="240"/>
      <w:ind w:left="432" w:right="432" w:firstLine="432"/>
      <w:jc w:val="both"/>
    </w:pPr>
    <w:rPr>
      <w:rFonts w:ascii="Minion Pro" w:hAnsi="Minion Pro"/>
    </w:rPr>
  </w:style>
  <w:style w:type="paragraph" w:customStyle="1" w:styleId="TOC">
    <w:name w:val="TOC"/>
    <w:autoRedefine/>
    <w:rsid w:val="0081788A"/>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81788A"/>
    <w:pPr>
      <w:tabs>
        <w:tab w:val="clear" w:pos="1440"/>
        <w:tab w:val="clear" w:pos="8640"/>
        <w:tab w:val="left" w:pos="240"/>
        <w:tab w:val="left" w:pos="480"/>
        <w:tab w:val="right" w:leader="dot" w:pos="4680"/>
      </w:tabs>
      <w:ind w:left="0" w:firstLine="0"/>
    </w:pPr>
    <w:rPr>
      <w:sz w:val="22"/>
    </w:rPr>
  </w:style>
  <w:style w:type="paragraph" w:customStyle="1" w:styleId="QU">
    <w:name w:val="QU"/>
    <w:rsid w:val="0081788A"/>
    <w:pPr>
      <w:spacing w:after="240"/>
      <w:jc w:val="both"/>
    </w:pPr>
    <w:rPr>
      <w:rFonts w:ascii="Helvetica LT Std" w:hAnsi="Helvetica LT Std"/>
      <w:b/>
      <w:color w:val="000000"/>
      <w:sz w:val="26"/>
    </w:rPr>
  </w:style>
  <w:style w:type="paragraph" w:customStyle="1" w:styleId="PQ">
    <w:name w:val="PQ"/>
    <w:link w:val="PQChar"/>
    <w:rsid w:val="0081788A"/>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81788A"/>
    <w:rPr>
      <w:rFonts w:ascii="Adobe Caslon Pro" w:hAnsi="Adobe Caslon Pro"/>
      <w:color w:val="000000"/>
      <w:sz w:val="14"/>
    </w:rPr>
  </w:style>
  <w:style w:type="paragraph" w:customStyle="1" w:styleId="HD">
    <w:name w:val="HD"/>
    <w:rsid w:val="0081788A"/>
    <w:pPr>
      <w:suppressAutoHyphens/>
      <w:spacing w:before="120"/>
      <w:jc w:val="center"/>
    </w:pPr>
    <w:rPr>
      <w:rFonts w:ascii="Helvetica LT Std" w:hAnsi="Helvetica LT Std"/>
      <w:sz w:val="26"/>
      <w:szCs w:val="18"/>
    </w:rPr>
  </w:style>
  <w:style w:type="paragraph" w:customStyle="1" w:styleId="PP">
    <w:name w:val="PP"/>
    <w:rsid w:val="0081788A"/>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81788A"/>
    <w:pPr>
      <w:spacing w:before="120" w:after="120"/>
      <w:jc w:val="center"/>
    </w:pPr>
    <w:rPr>
      <w:rFonts w:ascii="Helvetica LT Std" w:hAnsi="Helvetica LT Std"/>
      <w:sz w:val="24"/>
    </w:rPr>
  </w:style>
  <w:style w:type="paragraph" w:customStyle="1" w:styleId="PN">
    <w:name w:val="PN"/>
    <w:rsid w:val="0081788A"/>
    <w:pPr>
      <w:spacing w:after="240"/>
      <w:ind w:left="720" w:firstLine="288"/>
      <w:jc w:val="both"/>
    </w:pPr>
    <w:rPr>
      <w:rFonts w:ascii="Perpetua Std" w:eastAsia="MS Mincho" w:hAnsi="Perpetua Std"/>
      <w:color w:val="000000"/>
    </w:rPr>
  </w:style>
  <w:style w:type="table" w:styleId="TableGrid">
    <w:name w:val="Table Grid"/>
    <w:basedOn w:val="TableNormal"/>
    <w:rsid w:val="0081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1788A"/>
    <w:rPr>
      <w:vertAlign w:val="superscript"/>
    </w:rPr>
  </w:style>
  <w:style w:type="paragraph" w:customStyle="1" w:styleId="HA">
    <w:name w:val="HA"/>
    <w:autoRedefine/>
    <w:rsid w:val="0081788A"/>
    <w:pPr>
      <w:spacing w:after="240"/>
      <w:jc w:val="center"/>
    </w:pPr>
    <w:rPr>
      <w:rFonts w:ascii="Helvetica LT Std" w:hAnsi="Helvetica LT Std"/>
      <w:b/>
      <w:caps/>
      <w:color w:val="000000"/>
      <w:sz w:val="36"/>
      <w:szCs w:val="32"/>
    </w:rPr>
  </w:style>
  <w:style w:type="paragraph" w:customStyle="1" w:styleId="HB">
    <w:name w:val="HB"/>
    <w:rsid w:val="0081788A"/>
    <w:pPr>
      <w:spacing w:before="120" w:after="240"/>
      <w:jc w:val="center"/>
    </w:pPr>
    <w:rPr>
      <w:rFonts w:ascii="Helvetica LT Std" w:hAnsi="Helvetica LT Std"/>
      <w:b/>
      <w:color w:val="333333"/>
      <w:w w:val="105"/>
      <w:sz w:val="32"/>
    </w:rPr>
  </w:style>
  <w:style w:type="paragraph" w:customStyle="1" w:styleId="HC">
    <w:name w:val="HC"/>
    <w:autoRedefine/>
    <w:rsid w:val="0081788A"/>
    <w:pPr>
      <w:tabs>
        <w:tab w:val="left" w:pos="284"/>
      </w:tabs>
      <w:spacing w:before="120" w:after="120"/>
      <w:jc w:val="center"/>
    </w:pPr>
    <w:rPr>
      <w:rFonts w:ascii="Helvetica LT Std" w:hAnsi="Helvetica LT Std"/>
      <w:b/>
      <w:color w:val="000000"/>
      <w:w w:val="110"/>
      <w:sz w:val="26"/>
    </w:rPr>
  </w:style>
  <w:style w:type="paragraph" w:customStyle="1" w:styleId="PR">
    <w:name w:val="PR"/>
    <w:rsid w:val="0081788A"/>
    <w:pPr>
      <w:spacing w:after="240"/>
      <w:ind w:left="360" w:firstLine="288"/>
      <w:jc w:val="both"/>
    </w:pPr>
    <w:rPr>
      <w:rFonts w:ascii="Adobe Caslon Pro" w:hAnsi="Adobe Caslon Pro"/>
      <w:color w:val="000000"/>
      <w:sz w:val="14"/>
    </w:rPr>
  </w:style>
  <w:style w:type="paragraph" w:customStyle="1" w:styleId="PO">
    <w:name w:val="PO"/>
    <w:rsid w:val="0081788A"/>
    <w:pPr>
      <w:spacing w:after="240"/>
      <w:jc w:val="both"/>
    </w:pPr>
    <w:rPr>
      <w:rFonts w:ascii="Perpetua Std" w:hAnsi="Perpetua Std"/>
      <w:color w:val="000000"/>
      <w:w w:val="95"/>
      <w:szCs w:val="16"/>
    </w:rPr>
  </w:style>
  <w:style w:type="paragraph" w:customStyle="1" w:styleId="GUIDEX">
    <w:name w:val="GUIDEX"/>
    <w:rsid w:val="0081788A"/>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81788A"/>
    <w:pPr>
      <w:tabs>
        <w:tab w:val="clear" w:pos="240"/>
        <w:tab w:val="clear" w:pos="480"/>
        <w:tab w:val="clear" w:pos="720"/>
        <w:tab w:val="right" w:pos="4680"/>
      </w:tabs>
    </w:pPr>
  </w:style>
  <w:style w:type="paragraph" w:customStyle="1" w:styleId="PCB">
    <w:name w:val="PCB"/>
    <w:autoRedefine/>
    <w:rsid w:val="0081788A"/>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81788A"/>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81788A"/>
    <w:rPr>
      <w:rFonts w:ascii="Perpetua Std" w:hAnsi="Perpetua Std"/>
    </w:rPr>
  </w:style>
  <w:style w:type="paragraph" w:styleId="NoSpacing">
    <w:name w:val="No Spacing"/>
    <w:qFormat/>
    <w:rsid w:val="0081788A"/>
    <w:rPr>
      <w:rFonts w:ascii="Perpetua" w:hAnsi="Perpetua"/>
    </w:rPr>
  </w:style>
  <w:style w:type="paragraph" w:customStyle="1" w:styleId="PCA">
    <w:name w:val="PCA"/>
    <w:rsid w:val="0081788A"/>
    <w:pPr>
      <w:numPr>
        <w:numId w:val="22"/>
      </w:numPr>
      <w:tabs>
        <w:tab w:val="left" w:pos="720"/>
      </w:tabs>
      <w:spacing w:after="240"/>
      <w:jc w:val="both"/>
    </w:pPr>
    <w:rPr>
      <w:rFonts w:ascii="Perpetua Std" w:hAnsi="Perpetua Std"/>
      <w:sz w:val="24"/>
    </w:rPr>
  </w:style>
  <w:style w:type="paragraph" w:customStyle="1" w:styleId="PHB">
    <w:name w:val="PHB"/>
    <w:rsid w:val="0081788A"/>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81788A"/>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81788A"/>
    <w:rPr>
      <w:rFonts w:ascii="Perpetua Std" w:hAnsi="Perpetua Std"/>
    </w:rPr>
  </w:style>
  <w:style w:type="paragraph" w:styleId="Heading1">
    <w:name w:val="heading 1"/>
    <w:basedOn w:val="Normal"/>
    <w:next w:val="Normal"/>
    <w:link w:val="Heading1Char"/>
    <w:qFormat/>
    <w:rsid w:val="0081788A"/>
    <w:pPr>
      <w:keepNext/>
      <w:outlineLvl w:val="0"/>
    </w:pPr>
    <w:rPr>
      <w:b/>
    </w:rPr>
  </w:style>
  <w:style w:type="paragraph" w:styleId="Heading2">
    <w:name w:val="heading 2"/>
    <w:basedOn w:val="Normal"/>
    <w:next w:val="Normal"/>
    <w:link w:val="Heading2Char"/>
    <w:qFormat/>
    <w:rsid w:val="0081788A"/>
    <w:pPr>
      <w:keepNext/>
      <w:spacing w:before="240" w:after="60"/>
      <w:outlineLvl w:val="1"/>
    </w:pPr>
    <w:rPr>
      <w:rFonts w:ascii="Arial" w:hAnsi="Arial"/>
      <w:b/>
      <w:i/>
      <w:sz w:val="24"/>
    </w:rPr>
  </w:style>
  <w:style w:type="paragraph" w:styleId="Heading3">
    <w:name w:val="heading 3"/>
    <w:basedOn w:val="Normal"/>
    <w:next w:val="Normal"/>
    <w:link w:val="Heading3Char"/>
    <w:qFormat/>
    <w:rsid w:val="0081788A"/>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1788A"/>
    <w:pPr>
      <w:tabs>
        <w:tab w:val="center" w:pos="4320"/>
        <w:tab w:val="right" w:pos="8640"/>
      </w:tabs>
    </w:pPr>
  </w:style>
  <w:style w:type="paragraph" w:styleId="Header">
    <w:name w:val="header"/>
    <w:basedOn w:val="Normal"/>
    <w:rsid w:val="0081788A"/>
    <w:pPr>
      <w:tabs>
        <w:tab w:val="center" w:pos="4320"/>
        <w:tab w:val="right" w:pos="8640"/>
      </w:tabs>
    </w:pPr>
  </w:style>
  <w:style w:type="paragraph" w:customStyle="1" w:styleId="Standard">
    <w:name w:val="Standard"/>
    <w:rsid w:val="0081788A"/>
    <w:pPr>
      <w:spacing w:before="144"/>
      <w:jc w:val="both"/>
    </w:pPr>
    <w:rPr>
      <w:noProof/>
    </w:rPr>
  </w:style>
  <w:style w:type="paragraph" w:customStyle="1" w:styleId="PA">
    <w:name w:val="PA"/>
    <w:next w:val="Normal"/>
    <w:link w:val="PAChar"/>
    <w:rsid w:val="0081788A"/>
    <w:pPr>
      <w:spacing w:after="240"/>
      <w:ind w:firstLine="288"/>
      <w:jc w:val="both"/>
    </w:pPr>
    <w:rPr>
      <w:rFonts w:ascii="Perpetua Std" w:hAnsi="Perpetua Std"/>
      <w:color w:val="000000"/>
      <w:sz w:val="24"/>
    </w:rPr>
  </w:style>
  <w:style w:type="character" w:customStyle="1" w:styleId="PAChar">
    <w:name w:val="PA Char"/>
    <w:link w:val="PA"/>
    <w:rsid w:val="0081788A"/>
    <w:rPr>
      <w:rFonts w:ascii="Perpetua Std" w:hAnsi="Perpetua Std"/>
      <w:color w:val="000000"/>
      <w:sz w:val="24"/>
    </w:rPr>
  </w:style>
  <w:style w:type="paragraph" w:customStyle="1" w:styleId="PB">
    <w:name w:val="PB"/>
    <w:rsid w:val="0081788A"/>
    <w:pPr>
      <w:spacing w:after="240"/>
      <w:jc w:val="both"/>
    </w:pPr>
    <w:rPr>
      <w:rFonts w:ascii="Perpetua Std" w:hAnsi="Perpetua Std"/>
      <w:color w:val="000000"/>
      <w:sz w:val="24"/>
    </w:rPr>
  </w:style>
  <w:style w:type="paragraph" w:customStyle="1" w:styleId="PC">
    <w:name w:val="PC"/>
    <w:rsid w:val="0081788A"/>
    <w:pPr>
      <w:tabs>
        <w:tab w:val="left" w:pos="720"/>
      </w:tabs>
      <w:spacing w:after="240"/>
      <w:ind w:left="720" w:hanging="360"/>
      <w:jc w:val="both"/>
    </w:pPr>
    <w:rPr>
      <w:rFonts w:ascii="Perpetua Std" w:hAnsi="Perpetua Std"/>
      <w:color w:val="000000"/>
      <w:sz w:val="24"/>
    </w:rPr>
  </w:style>
  <w:style w:type="paragraph" w:customStyle="1" w:styleId="PD">
    <w:name w:val="PD"/>
    <w:rsid w:val="0081788A"/>
    <w:pPr>
      <w:spacing w:after="240"/>
      <w:ind w:left="720" w:firstLine="288"/>
      <w:jc w:val="both"/>
    </w:pPr>
    <w:rPr>
      <w:rFonts w:ascii="Perpetua Std" w:hAnsi="Perpetua Std"/>
      <w:color w:val="000000"/>
      <w:sz w:val="24"/>
    </w:rPr>
  </w:style>
  <w:style w:type="paragraph" w:customStyle="1" w:styleId="PE">
    <w:name w:val="PE"/>
    <w:rsid w:val="0081788A"/>
    <w:pPr>
      <w:spacing w:after="240"/>
      <w:ind w:left="720"/>
      <w:jc w:val="both"/>
    </w:pPr>
    <w:rPr>
      <w:rFonts w:ascii="Perpetua Std" w:hAnsi="Perpetua Std"/>
      <w:color w:val="000000"/>
      <w:sz w:val="24"/>
    </w:rPr>
  </w:style>
  <w:style w:type="paragraph" w:customStyle="1" w:styleId="PF">
    <w:name w:val="PF"/>
    <w:rsid w:val="0081788A"/>
    <w:pPr>
      <w:tabs>
        <w:tab w:val="left" w:pos="1080"/>
      </w:tabs>
      <w:spacing w:after="240"/>
      <w:ind w:left="1080" w:hanging="360"/>
      <w:jc w:val="both"/>
    </w:pPr>
    <w:rPr>
      <w:rFonts w:ascii="Perpetua Std" w:hAnsi="Perpetua Std"/>
      <w:color w:val="000000"/>
      <w:sz w:val="24"/>
    </w:rPr>
  </w:style>
  <w:style w:type="paragraph" w:customStyle="1" w:styleId="PG">
    <w:name w:val="PG"/>
    <w:rsid w:val="0081788A"/>
    <w:pPr>
      <w:spacing w:after="240"/>
      <w:ind w:left="360"/>
      <w:jc w:val="both"/>
    </w:pPr>
    <w:rPr>
      <w:rFonts w:ascii="Perpetua Std" w:hAnsi="Perpetua Std"/>
      <w:color w:val="000000"/>
      <w:sz w:val="24"/>
    </w:rPr>
  </w:style>
  <w:style w:type="paragraph" w:customStyle="1" w:styleId="PH">
    <w:name w:val="PH"/>
    <w:rsid w:val="0081788A"/>
    <w:pPr>
      <w:tabs>
        <w:tab w:val="left" w:pos="360"/>
      </w:tabs>
      <w:spacing w:after="240"/>
      <w:ind w:left="360" w:hanging="360"/>
      <w:jc w:val="both"/>
    </w:pPr>
    <w:rPr>
      <w:rFonts w:ascii="Perpetua Std" w:hAnsi="Perpetua Std"/>
      <w:color w:val="000000"/>
      <w:sz w:val="24"/>
    </w:rPr>
  </w:style>
  <w:style w:type="paragraph" w:customStyle="1" w:styleId="PI">
    <w:name w:val="PI"/>
    <w:rsid w:val="0081788A"/>
    <w:pPr>
      <w:spacing w:after="240"/>
      <w:ind w:left="360" w:hanging="360"/>
      <w:jc w:val="both"/>
    </w:pPr>
    <w:rPr>
      <w:rFonts w:ascii="Perpetua Std" w:hAnsi="Perpetua Std"/>
      <w:color w:val="000000"/>
      <w:sz w:val="24"/>
    </w:rPr>
  </w:style>
  <w:style w:type="paragraph" w:customStyle="1" w:styleId="PK">
    <w:name w:val="PK"/>
    <w:rsid w:val="0081788A"/>
    <w:pPr>
      <w:spacing w:after="240"/>
      <w:ind w:left="360" w:firstLine="288"/>
      <w:jc w:val="both"/>
    </w:pPr>
    <w:rPr>
      <w:rFonts w:ascii="Perpetua Std" w:hAnsi="Perpetua Std"/>
      <w:color w:val="000000"/>
      <w:sz w:val="24"/>
    </w:rPr>
  </w:style>
  <w:style w:type="paragraph" w:customStyle="1" w:styleId="PL">
    <w:name w:val="PL"/>
    <w:rsid w:val="0081788A"/>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81788A"/>
    <w:pPr>
      <w:spacing w:after="240"/>
      <w:ind w:left="432" w:right="432" w:firstLine="432"/>
      <w:jc w:val="both"/>
    </w:pPr>
    <w:rPr>
      <w:rFonts w:ascii="Minion Pro" w:hAnsi="Minion Pro"/>
    </w:rPr>
  </w:style>
  <w:style w:type="paragraph" w:customStyle="1" w:styleId="TOC">
    <w:name w:val="TOC"/>
    <w:autoRedefine/>
    <w:rsid w:val="0081788A"/>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81788A"/>
    <w:pPr>
      <w:tabs>
        <w:tab w:val="clear" w:pos="1440"/>
        <w:tab w:val="clear" w:pos="8640"/>
        <w:tab w:val="left" w:pos="240"/>
        <w:tab w:val="left" w:pos="480"/>
        <w:tab w:val="right" w:leader="dot" w:pos="4680"/>
      </w:tabs>
      <w:ind w:left="0" w:firstLine="0"/>
    </w:pPr>
    <w:rPr>
      <w:sz w:val="22"/>
    </w:rPr>
  </w:style>
  <w:style w:type="paragraph" w:customStyle="1" w:styleId="QU">
    <w:name w:val="QU"/>
    <w:rsid w:val="0081788A"/>
    <w:pPr>
      <w:spacing w:after="240"/>
      <w:jc w:val="both"/>
    </w:pPr>
    <w:rPr>
      <w:rFonts w:ascii="Helvetica LT Std" w:hAnsi="Helvetica LT Std"/>
      <w:b/>
      <w:color w:val="000000"/>
      <w:sz w:val="26"/>
    </w:rPr>
  </w:style>
  <w:style w:type="paragraph" w:customStyle="1" w:styleId="PQ">
    <w:name w:val="PQ"/>
    <w:link w:val="PQChar"/>
    <w:rsid w:val="0081788A"/>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81788A"/>
    <w:rPr>
      <w:rFonts w:ascii="Adobe Caslon Pro" w:hAnsi="Adobe Caslon Pro"/>
      <w:color w:val="000000"/>
      <w:sz w:val="14"/>
    </w:rPr>
  </w:style>
  <w:style w:type="paragraph" w:customStyle="1" w:styleId="HD">
    <w:name w:val="HD"/>
    <w:rsid w:val="0081788A"/>
    <w:pPr>
      <w:suppressAutoHyphens/>
      <w:spacing w:before="120"/>
      <w:jc w:val="center"/>
    </w:pPr>
    <w:rPr>
      <w:rFonts w:ascii="Helvetica LT Std" w:hAnsi="Helvetica LT Std"/>
      <w:sz w:val="26"/>
      <w:szCs w:val="18"/>
    </w:rPr>
  </w:style>
  <w:style w:type="paragraph" w:customStyle="1" w:styleId="PP">
    <w:name w:val="PP"/>
    <w:rsid w:val="0081788A"/>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81788A"/>
    <w:pPr>
      <w:spacing w:before="120" w:after="120"/>
      <w:jc w:val="center"/>
    </w:pPr>
    <w:rPr>
      <w:rFonts w:ascii="Helvetica LT Std" w:hAnsi="Helvetica LT Std"/>
      <w:sz w:val="24"/>
    </w:rPr>
  </w:style>
  <w:style w:type="paragraph" w:customStyle="1" w:styleId="PN">
    <w:name w:val="PN"/>
    <w:rsid w:val="0081788A"/>
    <w:pPr>
      <w:spacing w:after="240"/>
      <w:ind w:left="720" w:firstLine="288"/>
      <w:jc w:val="both"/>
    </w:pPr>
    <w:rPr>
      <w:rFonts w:ascii="Perpetua Std" w:eastAsia="MS Mincho" w:hAnsi="Perpetua Std"/>
      <w:color w:val="000000"/>
    </w:rPr>
  </w:style>
  <w:style w:type="table" w:styleId="TableGrid">
    <w:name w:val="Table Grid"/>
    <w:basedOn w:val="TableNormal"/>
    <w:rsid w:val="00817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81788A"/>
    <w:rPr>
      <w:vertAlign w:val="superscript"/>
    </w:rPr>
  </w:style>
  <w:style w:type="paragraph" w:customStyle="1" w:styleId="HA">
    <w:name w:val="HA"/>
    <w:autoRedefine/>
    <w:rsid w:val="0081788A"/>
    <w:pPr>
      <w:spacing w:after="240"/>
      <w:jc w:val="center"/>
    </w:pPr>
    <w:rPr>
      <w:rFonts w:ascii="Helvetica LT Std" w:hAnsi="Helvetica LT Std"/>
      <w:b/>
      <w:caps/>
      <w:color w:val="000000"/>
      <w:sz w:val="36"/>
      <w:szCs w:val="32"/>
    </w:rPr>
  </w:style>
  <w:style w:type="paragraph" w:customStyle="1" w:styleId="HB">
    <w:name w:val="HB"/>
    <w:rsid w:val="0081788A"/>
    <w:pPr>
      <w:spacing w:before="120" w:after="240"/>
      <w:jc w:val="center"/>
    </w:pPr>
    <w:rPr>
      <w:rFonts w:ascii="Helvetica LT Std" w:hAnsi="Helvetica LT Std"/>
      <w:b/>
      <w:color w:val="333333"/>
      <w:w w:val="105"/>
      <w:sz w:val="32"/>
    </w:rPr>
  </w:style>
  <w:style w:type="paragraph" w:customStyle="1" w:styleId="HC">
    <w:name w:val="HC"/>
    <w:autoRedefine/>
    <w:rsid w:val="0081788A"/>
    <w:pPr>
      <w:tabs>
        <w:tab w:val="left" w:pos="284"/>
      </w:tabs>
      <w:spacing w:before="120" w:after="120"/>
      <w:jc w:val="center"/>
    </w:pPr>
    <w:rPr>
      <w:rFonts w:ascii="Helvetica LT Std" w:hAnsi="Helvetica LT Std"/>
      <w:b/>
      <w:color w:val="000000"/>
      <w:w w:val="110"/>
      <w:sz w:val="26"/>
    </w:rPr>
  </w:style>
  <w:style w:type="paragraph" w:customStyle="1" w:styleId="PR">
    <w:name w:val="PR"/>
    <w:rsid w:val="0081788A"/>
    <w:pPr>
      <w:spacing w:after="240"/>
      <w:ind w:left="360" w:firstLine="288"/>
      <w:jc w:val="both"/>
    </w:pPr>
    <w:rPr>
      <w:rFonts w:ascii="Adobe Caslon Pro" w:hAnsi="Adobe Caslon Pro"/>
      <w:color w:val="000000"/>
      <w:sz w:val="14"/>
    </w:rPr>
  </w:style>
  <w:style w:type="paragraph" w:customStyle="1" w:styleId="PO">
    <w:name w:val="PO"/>
    <w:rsid w:val="0081788A"/>
    <w:pPr>
      <w:spacing w:after="240"/>
      <w:jc w:val="both"/>
    </w:pPr>
    <w:rPr>
      <w:rFonts w:ascii="Perpetua Std" w:hAnsi="Perpetua Std"/>
      <w:color w:val="000000"/>
      <w:w w:val="95"/>
      <w:szCs w:val="16"/>
    </w:rPr>
  </w:style>
  <w:style w:type="paragraph" w:customStyle="1" w:styleId="GUIDEX">
    <w:name w:val="GUIDEX"/>
    <w:rsid w:val="0081788A"/>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81788A"/>
    <w:pPr>
      <w:tabs>
        <w:tab w:val="clear" w:pos="240"/>
        <w:tab w:val="clear" w:pos="480"/>
        <w:tab w:val="clear" w:pos="720"/>
        <w:tab w:val="right" w:pos="4680"/>
      </w:tabs>
    </w:pPr>
  </w:style>
  <w:style w:type="paragraph" w:customStyle="1" w:styleId="PCB">
    <w:name w:val="PCB"/>
    <w:autoRedefine/>
    <w:rsid w:val="0081788A"/>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81788A"/>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81788A"/>
    <w:rPr>
      <w:rFonts w:ascii="Perpetua Std" w:hAnsi="Perpetua Std"/>
    </w:rPr>
  </w:style>
  <w:style w:type="paragraph" w:styleId="NoSpacing">
    <w:name w:val="No Spacing"/>
    <w:qFormat/>
    <w:rsid w:val="0081788A"/>
    <w:rPr>
      <w:rFonts w:ascii="Perpetua" w:hAnsi="Perpetua"/>
    </w:rPr>
  </w:style>
  <w:style w:type="paragraph" w:customStyle="1" w:styleId="PCA">
    <w:name w:val="PCA"/>
    <w:rsid w:val="0081788A"/>
    <w:pPr>
      <w:numPr>
        <w:numId w:val="22"/>
      </w:numPr>
      <w:tabs>
        <w:tab w:val="left" w:pos="720"/>
      </w:tabs>
      <w:spacing w:after="240"/>
      <w:jc w:val="both"/>
    </w:pPr>
    <w:rPr>
      <w:rFonts w:ascii="Perpetua Std" w:hAnsi="Perpetua Std"/>
      <w:sz w:val="24"/>
    </w:rPr>
  </w:style>
  <w:style w:type="paragraph" w:customStyle="1" w:styleId="PHB">
    <w:name w:val="PHB"/>
    <w:rsid w:val="0081788A"/>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81788A"/>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Tax Facts</Template>
  <TotalTime>1</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8591. When can a taxpayer exclude gain on the sale of small business stock from gross income if he has held the stock for more than five years?</vt:lpstr>
    </vt:vector>
  </TitlesOfParts>
  <Company>National Underwriter</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8591. When can a taxpayer exclude gain on the sale of small business stock from gross income if he has held the stock for more than five years?</dc:title>
  <dc:creator>cjump</dc:creator>
  <cp:lastModifiedBy>rcline</cp:lastModifiedBy>
  <cp:revision>2</cp:revision>
  <dcterms:created xsi:type="dcterms:W3CDTF">2014-08-21T16:43:00Z</dcterms:created>
  <dcterms:modified xsi:type="dcterms:W3CDTF">2014-08-21T16:43:00Z</dcterms:modified>
</cp:coreProperties>
</file>