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26" w:rsidRPr="00AA1326" w:rsidRDefault="00AA1326" w:rsidP="00351992">
      <w:pPr>
        <w:pStyle w:val="PA"/>
        <w:rPr>
          <w:b/>
          <w:sz w:val="28"/>
          <w:szCs w:val="28"/>
        </w:rPr>
      </w:pPr>
      <w:bookmarkStart w:id="0" w:name="_GoBack"/>
      <w:bookmarkEnd w:id="0"/>
      <w:r w:rsidRPr="00AA1326">
        <w:rPr>
          <w:b/>
          <w:sz w:val="28"/>
          <w:szCs w:val="28"/>
        </w:rPr>
        <w:t>8577.  Can a taxpayer defer recognition of gain under the like-kind exchange rules if the exchange is made between related parties?</w:t>
      </w:r>
    </w:p>
    <w:p w:rsidR="00351992" w:rsidRDefault="00351992" w:rsidP="00351992">
      <w:pPr>
        <w:pStyle w:val="PA"/>
        <w:rPr>
          <w:b/>
        </w:rPr>
      </w:pPr>
      <w:r w:rsidRPr="00573086">
        <w:t xml:space="preserve">If like-kind property is </w:t>
      </w:r>
      <w:r w:rsidRPr="00573086">
        <w:rPr>
          <w:bCs/>
          <w:iCs/>
        </w:rPr>
        <w:t>exchange</w:t>
      </w:r>
      <w:r w:rsidRPr="00573086">
        <w:t>d between persons who are "related" to each other (as defined in IRC Section</w:t>
      </w:r>
      <w:r>
        <w:t>s 267(b) or 707(b</w:t>
      </w:r>
      <w:proofErr w:type="gramStart"/>
      <w:r>
        <w:t>)(</w:t>
      </w:r>
      <w:proofErr w:type="gramEnd"/>
      <w:r>
        <w:t>1)), the non</w:t>
      </w:r>
      <w:r w:rsidRPr="00573086">
        <w:t xml:space="preserve">recognition </w:t>
      </w:r>
      <w:r>
        <w:t>treatment provided under</w:t>
      </w:r>
      <w:r w:rsidRPr="00573086">
        <w:t xml:space="preserve"> Section 1031 will not apply if either party disposes of the property received within two years after the </w:t>
      </w:r>
      <w:r w:rsidRPr="00573086">
        <w:rPr>
          <w:bCs/>
          <w:iCs/>
        </w:rPr>
        <w:t>exchange</w:t>
      </w:r>
      <w:r w:rsidRPr="00573086">
        <w:t>.</w:t>
      </w:r>
      <w:r>
        <w:rPr>
          <w:rStyle w:val="FootnoteReference"/>
          <w:color w:val="auto"/>
        </w:rPr>
        <w:footnoteReference w:id="1"/>
      </w:r>
      <w:r w:rsidRPr="00573086">
        <w:t xml:space="preserve"> </w:t>
      </w:r>
    </w:p>
    <w:p w:rsidR="00351992" w:rsidRDefault="00351992" w:rsidP="00351992">
      <w:pPr>
        <w:pStyle w:val="PA"/>
        <w:rPr>
          <w:b/>
        </w:rPr>
      </w:pPr>
      <w:r w:rsidRPr="00573086">
        <w:t xml:space="preserve">If such a disposition is made by either party, then both parties must recognize the gain on the </w:t>
      </w:r>
      <w:r w:rsidRPr="00573086">
        <w:rPr>
          <w:bCs/>
          <w:iCs/>
        </w:rPr>
        <w:t>exchange</w:t>
      </w:r>
      <w:r w:rsidRPr="00573086">
        <w:t xml:space="preserve"> in the year of the subsequent disposition.</w:t>
      </w:r>
      <w:r>
        <w:rPr>
          <w:rStyle w:val="FootnoteReference"/>
          <w:color w:val="auto"/>
        </w:rPr>
        <w:footnoteReference w:id="2"/>
      </w:r>
      <w:r w:rsidR="00B4630A">
        <w:t xml:space="preserve"> </w:t>
      </w:r>
      <w:r w:rsidRPr="00573086">
        <w:t>IRC Section 1031(f) (2) contains certain specific exceptions to this rule and a general exception for transactions that the IRS concludes did not have tax avoidance as one of the principal purposes.</w:t>
      </w:r>
      <w:r w:rsidR="00B4630A">
        <w:t xml:space="preserve"> </w:t>
      </w:r>
    </w:p>
    <w:p w:rsidR="00351992" w:rsidRDefault="00351992" w:rsidP="00351992">
      <w:pPr>
        <w:pStyle w:val="PA"/>
        <w:rPr>
          <w:b/>
        </w:rPr>
      </w:pPr>
      <w:r>
        <w:t>As a result, nonrecognition treatment will be permitted if the property was disposed of within two years of the exchange as a result of:</w:t>
      </w:r>
    </w:p>
    <w:p w:rsidR="00351992" w:rsidRPr="00842E39" w:rsidRDefault="00351992" w:rsidP="00351992">
      <w:pPr>
        <w:pStyle w:val="PC"/>
      </w:pPr>
      <w:r w:rsidRPr="00842E39">
        <w:t>(1)</w:t>
      </w:r>
      <w:r w:rsidRPr="00842E39">
        <w:tab/>
      </w:r>
      <w:proofErr w:type="gramStart"/>
      <w:r w:rsidRPr="00842E39">
        <w:t>the</w:t>
      </w:r>
      <w:proofErr w:type="gramEnd"/>
      <w:r w:rsidRPr="00842E39">
        <w:t xml:space="preserve"> death of the taxpayer or the related person; or</w:t>
      </w:r>
    </w:p>
    <w:p w:rsidR="00351992" w:rsidRDefault="00351992" w:rsidP="00351992">
      <w:pPr>
        <w:pStyle w:val="PC"/>
        <w:rPr>
          <w:b/>
        </w:rPr>
      </w:pPr>
      <w:r w:rsidRPr="00842E39">
        <w:t>(2)</w:t>
      </w:r>
      <w:r w:rsidRPr="00842E39">
        <w:tab/>
      </w:r>
      <w:proofErr w:type="gramStart"/>
      <w:r w:rsidRPr="00842E39">
        <w:t>an</w:t>
      </w:r>
      <w:proofErr w:type="gramEnd"/>
      <w:r w:rsidRPr="00842E39">
        <w:t xml:space="preserve"> involuntary conversion (see </w:t>
      </w:r>
      <w:r w:rsidR="008907B1">
        <w:t>Q</w:t>
      </w:r>
      <w:r w:rsidR="005739DC">
        <w:t xml:space="preserve"> </w:t>
      </w:r>
      <w:r w:rsidR="008907B1">
        <w:t>8579</w:t>
      </w:r>
      <w:r w:rsidRPr="00842E39">
        <w:t>) if the exchan</w:t>
      </w:r>
      <w:r>
        <w:t>ge occurred before the threat of the conversion arose.</w:t>
      </w:r>
      <w:r>
        <w:rPr>
          <w:rStyle w:val="FootnoteReference"/>
          <w:color w:val="auto"/>
        </w:rPr>
        <w:footnoteReference w:id="3"/>
      </w:r>
      <w:r w:rsidR="00B4630A">
        <w:t xml:space="preserve"> </w:t>
      </w:r>
    </w:p>
    <w:p w:rsidR="00351992" w:rsidRPr="002A339C" w:rsidRDefault="00351992" w:rsidP="00351992">
      <w:pPr>
        <w:pStyle w:val="PB"/>
        <w:rPr>
          <w:rFonts w:ascii="Arial" w:hAnsi="Arial"/>
        </w:rPr>
      </w:pPr>
      <w:r w:rsidRPr="00323621">
        <w:t>IRC Sec. 1031(f)(4) provides that if an exchange is part of a transaction (or series of transactions) structured to avoid the related party rules of Section 1031, the section will not apply at all (except for subsection (f)(4)) and any gain will be recognized in the year of the original sale.</w:t>
      </w:r>
      <w:r w:rsidR="00B4630A">
        <w:t xml:space="preserve"> </w:t>
      </w:r>
    </w:p>
    <w:p w:rsidR="00844CAC" w:rsidRPr="00351992" w:rsidRDefault="00844CAC" w:rsidP="00351992"/>
    <w:sectPr w:rsidR="00844CAC" w:rsidRPr="00351992" w:rsidSect="005B09B6">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25" w:rsidRDefault="00AC3F25">
      <w:r>
        <w:separator/>
      </w:r>
    </w:p>
  </w:endnote>
  <w:endnote w:type="continuationSeparator" w:id="0">
    <w:p w:rsidR="00AC3F25" w:rsidRDefault="00AC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25" w:rsidRDefault="00AC3F25">
      <w:r>
        <w:separator/>
      </w:r>
    </w:p>
  </w:footnote>
  <w:footnote w:type="continuationSeparator" w:id="0">
    <w:p w:rsidR="00AC3F25" w:rsidRDefault="00AC3F25">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 xml:space="preserve">IRC Sec. </w:t>
      </w:r>
      <w:proofErr w:type="gramStart"/>
      <w:r w:rsidRPr="00B4630A">
        <w:t>1031(f</w:t>
      </w:r>
      <w:proofErr w:type="gramEnd"/>
      <w:r w:rsidRPr="00B4630A">
        <w:t>).</w:t>
      </w:r>
    </w:p>
  </w:footnote>
  <w:footnote w:id="2">
    <w:p w:rsidR="00351992" w:rsidRPr="00B4630A" w:rsidRDefault="00351992" w:rsidP="00351992">
      <w:pPr>
        <w:pStyle w:val="PQ"/>
      </w:pPr>
      <w:r w:rsidRPr="00B4630A">
        <w:rPr>
          <w:rStyle w:val="FootnoteReference"/>
          <w:vertAlign w:val="baseline"/>
        </w:rPr>
        <w:footnoteRef/>
      </w:r>
      <w:r w:rsidRPr="00B4630A">
        <w:t>.</w:t>
      </w:r>
      <w:r w:rsidRPr="00B4630A">
        <w:tab/>
        <w:t>IRC Sec. 1031(f</w:t>
      </w:r>
      <w:proofErr w:type="gramStart"/>
      <w:r w:rsidRPr="00B4630A">
        <w:t>)(</w:t>
      </w:r>
      <w:proofErr w:type="gramEnd"/>
      <w:r w:rsidRPr="00B4630A">
        <w:t>1).</w:t>
      </w:r>
    </w:p>
  </w:footnote>
  <w:footnote w:id="3">
    <w:p w:rsidR="00351992" w:rsidRPr="00B4630A" w:rsidRDefault="00351992" w:rsidP="00351992">
      <w:pPr>
        <w:pStyle w:val="PQ"/>
      </w:pPr>
      <w:r w:rsidRPr="00B4630A">
        <w:rPr>
          <w:rStyle w:val="FootnoteReference"/>
          <w:vertAlign w:val="baseline"/>
        </w:rPr>
        <w:footnoteRef/>
      </w:r>
      <w:r w:rsidRPr="00B4630A">
        <w:t>.</w:t>
      </w:r>
      <w:r w:rsidRPr="00B4630A">
        <w:tab/>
        <w:t>IRC Sec. 1031(f</w:t>
      </w:r>
      <w:proofErr w:type="gramStart"/>
      <w:r w:rsidRPr="00B4630A">
        <w:t>)(</w:t>
      </w:r>
      <w:proofErr w:type="gramEnd"/>
      <w:r w:rsidRPr="00B4630A">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0F1"/>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4DD"/>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D779E"/>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0E76"/>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1DCB"/>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2ED2"/>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9DC"/>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3C9"/>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B6"/>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6EDF"/>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7B1"/>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185"/>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26"/>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25"/>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CF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27D"/>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505"/>
    <w:rsid w:val="00E405D2"/>
    <w:rsid w:val="00E40B71"/>
    <w:rsid w:val="00E40D6E"/>
    <w:rsid w:val="00E411FD"/>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1E3"/>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0585"/>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5739DC"/>
    <w:rPr>
      <w:rFonts w:ascii="Perpetua Std" w:hAnsi="Perpetua Std"/>
    </w:rPr>
  </w:style>
  <w:style w:type="paragraph" w:styleId="Heading1">
    <w:name w:val="heading 1"/>
    <w:basedOn w:val="Normal"/>
    <w:next w:val="Normal"/>
    <w:link w:val="Heading1Char"/>
    <w:qFormat/>
    <w:rsid w:val="005739DC"/>
    <w:pPr>
      <w:keepNext/>
      <w:outlineLvl w:val="0"/>
    </w:pPr>
    <w:rPr>
      <w:b/>
    </w:rPr>
  </w:style>
  <w:style w:type="paragraph" w:styleId="Heading2">
    <w:name w:val="heading 2"/>
    <w:basedOn w:val="Normal"/>
    <w:next w:val="Normal"/>
    <w:link w:val="Heading2Char"/>
    <w:qFormat/>
    <w:rsid w:val="005739DC"/>
    <w:pPr>
      <w:keepNext/>
      <w:spacing w:before="240" w:after="60"/>
      <w:outlineLvl w:val="1"/>
    </w:pPr>
    <w:rPr>
      <w:rFonts w:ascii="Arial" w:hAnsi="Arial"/>
      <w:b/>
      <w:i/>
      <w:sz w:val="24"/>
    </w:rPr>
  </w:style>
  <w:style w:type="paragraph" w:styleId="Heading3">
    <w:name w:val="heading 3"/>
    <w:basedOn w:val="Normal"/>
    <w:next w:val="Normal"/>
    <w:link w:val="Heading3Char"/>
    <w:qFormat/>
    <w:rsid w:val="005739D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39DC"/>
    <w:pPr>
      <w:tabs>
        <w:tab w:val="center" w:pos="4320"/>
        <w:tab w:val="right" w:pos="8640"/>
      </w:tabs>
    </w:pPr>
  </w:style>
  <w:style w:type="paragraph" w:styleId="Header">
    <w:name w:val="header"/>
    <w:basedOn w:val="Normal"/>
    <w:rsid w:val="005739DC"/>
    <w:pPr>
      <w:tabs>
        <w:tab w:val="center" w:pos="4320"/>
        <w:tab w:val="right" w:pos="8640"/>
      </w:tabs>
    </w:pPr>
  </w:style>
  <w:style w:type="paragraph" w:customStyle="1" w:styleId="Standard">
    <w:name w:val="Standard"/>
    <w:rsid w:val="005739DC"/>
    <w:pPr>
      <w:spacing w:before="144"/>
      <w:jc w:val="both"/>
    </w:pPr>
    <w:rPr>
      <w:noProof/>
    </w:rPr>
  </w:style>
  <w:style w:type="paragraph" w:customStyle="1" w:styleId="PA">
    <w:name w:val="PA"/>
    <w:next w:val="Normal"/>
    <w:link w:val="PAChar"/>
    <w:rsid w:val="005739DC"/>
    <w:pPr>
      <w:spacing w:after="240"/>
      <w:ind w:firstLine="288"/>
      <w:jc w:val="both"/>
    </w:pPr>
    <w:rPr>
      <w:rFonts w:ascii="Perpetua Std" w:hAnsi="Perpetua Std"/>
      <w:color w:val="000000"/>
      <w:sz w:val="24"/>
    </w:rPr>
  </w:style>
  <w:style w:type="character" w:customStyle="1" w:styleId="PAChar">
    <w:name w:val="PA Char"/>
    <w:link w:val="PA"/>
    <w:rsid w:val="005739DC"/>
    <w:rPr>
      <w:rFonts w:ascii="Perpetua Std" w:hAnsi="Perpetua Std"/>
      <w:color w:val="000000"/>
      <w:sz w:val="24"/>
    </w:rPr>
  </w:style>
  <w:style w:type="paragraph" w:customStyle="1" w:styleId="PB">
    <w:name w:val="PB"/>
    <w:rsid w:val="005739DC"/>
    <w:pPr>
      <w:spacing w:after="240"/>
      <w:jc w:val="both"/>
    </w:pPr>
    <w:rPr>
      <w:rFonts w:ascii="Perpetua Std" w:hAnsi="Perpetua Std"/>
      <w:color w:val="000000"/>
      <w:sz w:val="24"/>
    </w:rPr>
  </w:style>
  <w:style w:type="paragraph" w:customStyle="1" w:styleId="PC">
    <w:name w:val="PC"/>
    <w:rsid w:val="005739DC"/>
    <w:pPr>
      <w:tabs>
        <w:tab w:val="left" w:pos="720"/>
      </w:tabs>
      <w:spacing w:after="240"/>
      <w:ind w:left="720" w:hanging="360"/>
      <w:jc w:val="both"/>
    </w:pPr>
    <w:rPr>
      <w:rFonts w:ascii="Perpetua Std" w:hAnsi="Perpetua Std"/>
      <w:color w:val="000000"/>
      <w:sz w:val="24"/>
    </w:rPr>
  </w:style>
  <w:style w:type="paragraph" w:customStyle="1" w:styleId="PD">
    <w:name w:val="PD"/>
    <w:rsid w:val="005739DC"/>
    <w:pPr>
      <w:spacing w:after="240"/>
      <w:ind w:left="720" w:firstLine="288"/>
      <w:jc w:val="both"/>
    </w:pPr>
    <w:rPr>
      <w:rFonts w:ascii="Perpetua Std" w:hAnsi="Perpetua Std"/>
      <w:color w:val="000000"/>
      <w:sz w:val="24"/>
    </w:rPr>
  </w:style>
  <w:style w:type="paragraph" w:customStyle="1" w:styleId="PE">
    <w:name w:val="PE"/>
    <w:rsid w:val="005739DC"/>
    <w:pPr>
      <w:spacing w:after="240"/>
      <w:ind w:left="720"/>
      <w:jc w:val="both"/>
    </w:pPr>
    <w:rPr>
      <w:rFonts w:ascii="Perpetua Std" w:hAnsi="Perpetua Std"/>
      <w:color w:val="000000"/>
      <w:sz w:val="24"/>
    </w:rPr>
  </w:style>
  <w:style w:type="paragraph" w:customStyle="1" w:styleId="PF">
    <w:name w:val="PF"/>
    <w:rsid w:val="005739DC"/>
    <w:pPr>
      <w:tabs>
        <w:tab w:val="left" w:pos="1080"/>
      </w:tabs>
      <w:spacing w:after="240"/>
      <w:ind w:left="1080" w:hanging="360"/>
      <w:jc w:val="both"/>
    </w:pPr>
    <w:rPr>
      <w:rFonts w:ascii="Perpetua Std" w:hAnsi="Perpetua Std"/>
      <w:color w:val="000000"/>
      <w:sz w:val="24"/>
    </w:rPr>
  </w:style>
  <w:style w:type="paragraph" w:customStyle="1" w:styleId="PG">
    <w:name w:val="PG"/>
    <w:rsid w:val="005739DC"/>
    <w:pPr>
      <w:spacing w:after="240"/>
      <w:ind w:left="360"/>
      <w:jc w:val="both"/>
    </w:pPr>
    <w:rPr>
      <w:rFonts w:ascii="Perpetua Std" w:hAnsi="Perpetua Std"/>
      <w:color w:val="000000"/>
      <w:sz w:val="24"/>
    </w:rPr>
  </w:style>
  <w:style w:type="paragraph" w:customStyle="1" w:styleId="PH">
    <w:name w:val="PH"/>
    <w:rsid w:val="005739DC"/>
    <w:pPr>
      <w:tabs>
        <w:tab w:val="left" w:pos="360"/>
      </w:tabs>
      <w:spacing w:after="240"/>
      <w:ind w:left="360" w:hanging="360"/>
      <w:jc w:val="both"/>
    </w:pPr>
    <w:rPr>
      <w:rFonts w:ascii="Perpetua Std" w:hAnsi="Perpetua Std"/>
      <w:color w:val="000000"/>
      <w:sz w:val="24"/>
    </w:rPr>
  </w:style>
  <w:style w:type="paragraph" w:customStyle="1" w:styleId="PI">
    <w:name w:val="PI"/>
    <w:rsid w:val="005739DC"/>
    <w:pPr>
      <w:spacing w:after="240"/>
      <w:ind w:left="360" w:hanging="360"/>
      <w:jc w:val="both"/>
    </w:pPr>
    <w:rPr>
      <w:rFonts w:ascii="Perpetua Std" w:hAnsi="Perpetua Std"/>
      <w:color w:val="000000"/>
      <w:sz w:val="24"/>
    </w:rPr>
  </w:style>
  <w:style w:type="paragraph" w:customStyle="1" w:styleId="PK">
    <w:name w:val="PK"/>
    <w:rsid w:val="005739DC"/>
    <w:pPr>
      <w:spacing w:after="240"/>
      <w:ind w:left="360" w:firstLine="288"/>
      <w:jc w:val="both"/>
    </w:pPr>
    <w:rPr>
      <w:rFonts w:ascii="Perpetua Std" w:hAnsi="Perpetua Std"/>
      <w:color w:val="000000"/>
      <w:sz w:val="24"/>
    </w:rPr>
  </w:style>
  <w:style w:type="paragraph" w:customStyle="1" w:styleId="PL">
    <w:name w:val="PL"/>
    <w:rsid w:val="005739DC"/>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739DC"/>
    <w:pPr>
      <w:spacing w:after="240"/>
      <w:ind w:left="432" w:right="432" w:firstLine="432"/>
      <w:jc w:val="both"/>
    </w:pPr>
    <w:rPr>
      <w:rFonts w:ascii="Minion Pro" w:hAnsi="Minion Pro"/>
    </w:rPr>
  </w:style>
  <w:style w:type="paragraph" w:customStyle="1" w:styleId="TOC">
    <w:name w:val="TOC"/>
    <w:autoRedefine/>
    <w:rsid w:val="005739DC"/>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5739DC"/>
    <w:pPr>
      <w:tabs>
        <w:tab w:val="clear" w:pos="1440"/>
        <w:tab w:val="clear" w:pos="8640"/>
        <w:tab w:val="left" w:pos="240"/>
        <w:tab w:val="left" w:pos="480"/>
        <w:tab w:val="right" w:leader="dot" w:pos="4680"/>
      </w:tabs>
      <w:ind w:left="0" w:firstLine="0"/>
    </w:pPr>
    <w:rPr>
      <w:sz w:val="22"/>
    </w:rPr>
  </w:style>
  <w:style w:type="paragraph" w:customStyle="1" w:styleId="QU">
    <w:name w:val="QU"/>
    <w:rsid w:val="005739DC"/>
    <w:pPr>
      <w:spacing w:after="240"/>
      <w:jc w:val="both"/>
    </w:pPr>
    <w:rPr>
      <w:rFonts w:ascii="Helvetica LT Std" w:hAnsi="Helvetica LT Std"/>
      <w:b/>
      <w:color w:val="000000"/>
      <w:sz w:val="26"/>
    </w:rPr>
  </w:style>
  <w:style w:type="paragraph" w:customStyle="1" w:styleId="PQ">
    <w:name w:val="PQ"/>
    <w:link w:val="PQChar"/>
    <w:rsid w:val="005739DC"/>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5739DC"/>
    <w:rPr>
      <w:rFonts w:ascii="Adobe Caslon Pro" w:hAnsi="Adobe Caslon Pro"/>
      <w:color w:val="000000"/>
      <w:sz w:val="14"/>
    </w:rPr>
  </w:style>
  <w:style w:type="paragraph" w:customStyle="1" w:styleId="HD">
    <w:name w:val="HD"/>
    <w:rsid w:val="005739DC"/>
    <w:pPr>
      <w:suppressAutoHyphens/>
      <w:spacing w:before="120"/>
      <w:jc w:val="center"/>
    </w:pPr>
    <w:rPr>
      <w:rFonts w:ascii="Helvetica LT Std" w:hAnsi="Helvetica LT Std"/>
      <w:sz w:val="26"/>
      <w:szCs w:val="18"/>
    </w:rPr>
  </w:style>
  <w:style w:type="paragraph" w:customStyle="1" w:styleId="PP">
    <w:name w:val="PP"/>
    <w:rsid w:val="005739DC"/>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5739DC"/>
    <w:pPr>
      <w:spacing w:before="120" w:after="120"/>
      <w:jc w:val="center"/>
    </w:pPr>
    <w:rPr>
      <w:rFonts w:ascii="Helvetica LT Std" w:hAnsi="Helvetica LT Std"/>
      <w:sz w:val="24"/>
    </w:rPr>
  </w:style>
  <w:style w:type="paragraph" w:customStyle="1" w:styleId="PN">
    <w:name w:val="PN"/>
    <w:rsid w:val="005739DC"/>
    <w:pPr>
      <w:spacing w:after="240"/>
      <w:ind w:left="720" w:firstLine="288"/>
      <w:jc w:val="both"/>
    </w:pPr>
    <w:rPr>
      <w:rFonts w:ascii="Perpetua Std" w:eastAsia="MS Mincho" w:hAnsi="Perpetua Std"/>
      <w:color w:val="000000"/>
    </w:rPr>
  </w:style>
  <w:style w:type="table" w:styleId="TableGrid">
    <w:name w:val="Table Grid"/>
    <w:basedOn w:val="TableNormal"/>
    <w:rsid w:val="0057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739DC"/>
    <w:rPr>
      <w:vertAlign w:val="superscript"/>
    </w:rPr>
  </w:style>
  <w:style w:type="paragraph" w:customStyle="1" w:styleId="HA">
    <w:name w:val="HA"/>
    <w:autoRedefine/>
    <w:rsid w:val="005739DC"/>
    <w:pPr>
      <w:spacing w:after="240"/>
      <w:jc w:val="center"/>
    </w:pPr>
    <w:rPr>
      <w:rFonts w:ascii="Helvetica LT Std" w:hAnsi="Helvetica LT Std"/>
      <w:b/>
      <w:caps/>
      <w:color w:val="000000"/>
      <w:sz w:val="36"/>
      <w:szCs w:val="32"/>
    </w:rPr>
  </w:style>
  <w:style w:type="paragraph" w:customStyle="1" w:styleId="HB">
    <w:name w:val="HB"/>
    <w:rsid w:val="005739DC"/>
    <w:pPr>
      <w:spacing w:before="120" w:after="240"/>
      <w:jc w:val="center"/>
    </w:pPr>
    <w:rPr>
      <w:rFonts w:ascii="Helvetica LT Std" w:hAnsi="Helvetica LT Std"/>
      <w:b/>
      <w:color w:val="333333"/>
      <w:w w:val="105"/>
      <w:sz w:val="32"/>
    </w:rPr>
  </w:style>
  <w:style w:type="paragraph" w:customStyle="1" w:styleId="HC">
    <w:name w:val="HC"/>
    <w:autoRedefine/>
    <w:rsid w:val="005739DC"/>
    <w:pPr>
      <w:tabs>
        <w:tab w:val="left" w:pos="284"/>
      </w:tabs>
      <w:spacing w:before="120" w:after="120"/>
      <w:jc w:val="center"/>
    </w:pPr>
    <w:rPr>
      <w:rFonts w:ascii="Helvetica LT Std" w:hAnsi="Helvetica LT Std"/>
      <w:b/>
      <w:color w:val="000000"/>
      <w:w w:val="110"/>
      <w:sz w:val="26"/>
    </w:rPr>
  </w:style>
  <w:style w:type="paragraph" w:customStyle="1" w:styleId="PR">
    <w:name w:val="PR"/>
    <w:rsid w:val="005739DC"/>
    <w:pPr>
      <w:spacing w:after="240"/>
      <w:ind w:left="360" w:firstLine="288"/>
      <w:jc w:val="both"/>
    </w:pPr>
    <w:rPr>
      <w:rFonts w:ascii="Adobe Caslon Pro" w:hAnsi="Adobe Caslon Pro"/>
      <w:color w:val="000000"/>
      <w:sz w:val="14"/>
    </w:rPr>
  </w:style>
  <w:style w:type="paragraph" w:customStyle="1" w:styleId="PO">
    <w:name w:val="PO"/>
    <w:rsid w:val="005739DC"/>
    <w:pPr>
      <w:spacing w:after="240"/>
      <w:jc w:val="both"/>
    </w:pPr>
    <w:rPr>
      <w:rFonts w:ascii="Perpetua Std" w:hAnsi="Perpetua Std"/>
      <w:color w:val="000000"/>
      <w:w w:val="95"/>
      <w:szCs w:val="16"/>
    </w:rPr>
  </w:style>
  <w:style w:type="paragraph" w:customStyle="1" w:styleId="GUIDEX">
    <w:name w:val="GUIDEX"/>
    <w:rsid w:val="005739DC"/>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5739DC"/>
    <w:pPr>
      <w:tabs>
        <w:tab w:val="clear" w:pos="240"/>
        <w:tab w:val="clear" w:pos="480"/>
        <w:tab w:val="clear" w:pos="720"/>
        <w:tab w:val="right" w:pos="4680"/>
      </w:tabs>
    </w:pPr>
  </w:style>
  <w:style w:type="paragraph" w:customStyle="1" w:styleId="PCB">
    <w:name w:val="PCB"/>
    <w:autoRedefine/>
    <w:rsid w:val="005739DC"/>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5739DC"/>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5739DC"/>
    <w:rPr>
      <w:rFonts w:ascii="Perpetua Std" w:hAnsi="Perpetua Std"/>
    </w:rPr>
  </w:style>
  <w:style w:type="paragraph" w:styleId="NoSpacing">
    <w:name w:val="No Spacing"/>
    <w:qFormat/>
    <w:rsid w:val="005739DC"/>
    <w:rPr>
      <w:rFonts w:ascii="Perpetua" w:hAnsi="Perpetua"/>
    </w:rPr>
  </w:style>
  <w:style w:type="paragraph" w:customStyle="1" w:styleId="PCA">
    <w:name w:val="PCA"/>
    <w:rsid w:val="005739DC"/>
    <w:pPr>
      <w:numPr>
        <w:numId w:val="22"/>
      </w:numPr>
      <w:tabs>
        <w:tab w:val="left" w:pos="720"/>
      </w:tabs>
      <w:spacing w:after="240"/>
      <w:jc w:val="both"/>
    </w:pPr>
    <w:rPr>
      <w:rFonts w:ascii="Perpetua Std" w:hAnsi="Perpetua Std"/>
      <w:sz w:val="24"/>
    </w:rPr>
  </w:style>
  <w:style w:type="paragraph" w:customStyle="1" w:styleId="PHB">
    <w:name w:val="PHB"/>
    <w:rsid w:val="005739DC"/>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5739DC"/>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5739DC"/>
    <w:rPr>
      <w:rFonts w:ascii="Perpetua Std" w:hAnsi="Perpetua Std"/>
    </w:rPr>
  </w:style>
  <w:style w:type="paragraph" w:styleId="Heading1">
    <w:name w:val="heading 1"/>
    <w:basedOn w:val="Normal"/>
    <w:next w:val="Normal"/>
    <w:link w:val="Heading1Char"/>
    <w:qFormat/>
    <w:rsid w:val="005739DC"/>
    <w:pPr>
      <w:keepNext/>
      <w:outlineLvl w:val="0"/>
    </w:pPr>
    <w:rPr>
      <w:b/>
    </w:rPr>
  </w:style>
  <w:style w:type="paragraph" w:styleId="Heading2">
    <w:name w:val="heading 2"/>
    <w:basedOn w:val="Normal"/>
    <w:next w:val="Normal"/>
    <w:link w:val="Heading2Char"/>
    <w:qFormat/>
    <w:rsid w:val="005739DC"/>
    <w:pPr>
      <w:keepNext/>
      <w:spacing w:before="240" w:after="60"/>
      <w:outlineLvl w:val="1"/>
    </w:pPr>
    <w:rPr>
      <w:rFonts w:ascii="Arial" w:hAnsi="Arial"/>
      <w:b/>
      <w:i/>
      <w:sz w:val="24"/>
    </w:rPr>
  </w:style>
  <w:style w:type="paragraph" w:styleId="Heading3">
    <w:name w:val="heading 3"/>
    <w:basedOn w:val="Normal"/>
    <w:next w:val="Normal"/>
    <w:link w:val="Heading3Char"/>
    <w:qFormat/>
    <w:rsid w:val="005739D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39DC"/>
    <w:pPr>
      <w:tabs>
        <w:tab w:val="center" w:pos="4320"/>
        <w:tab w:val="right" w:pos="8640"/>
      </w:tabs>
    </w:pPr>
  </w:style>
  <w:style w:type="paragraph" w:styleId="Header">
    <w:name w:val="header"/>
    <w:basedOn w:val="Normal"/>
    <w:rsid w:val="005739DC"/>
    <w:pPr>
      <w:tabs>
        <w:tab w:val="center" w:pos="4320"/>
        <w:tab w:val="right" w:pos="8640"/>
      </w:tabs>
    </w:pPr>
  </w:style>
  <w:style w:type="paragraph" w:customStyle="1" w:styleId="Standard">
    <w:name w:val="Standard"/>
    <w:rsid w:val="005739DC"/>
    <w:pPr>
      <w:spacing w:before="144"/>
      <w:jc w:val="both"/>
    </w:pPr>
    <w:rPr>
      <w:noProof/>
    </w:rPr>
  </w:style>
  <w:style w:type="paragraph" w:customStyle="1" w:styleId="PA">
    <w:name w:val="PA"/>
    <w:next w:val="Normal"/>
    <w:link w:val="PAChar"/>
    <w:rsid w:val="005739DC"/>
    <w:pPr>
      <w:spacing w:after="240"/>
      <w:ind w:firstLine="288"/>
      <w:jc w:val="both"/>
    </w:pPr>
    <w:rPr>
      <w:rFonts w:ascii="Perpetua Std" w:hAnsi="Perpetua Std"/>
      <w:color w:val="000000"/>
      <w:sz w:val="24"/>
    </w:rPr>
  </w:style>
  <w:style w:type="character" w:customStyle="1" w:styleId="PAChar">
    <w:name w:val="PA Char"/>
    <w:link w:val="PA"/>
    <w:rsid w:val="005739DC"/>
    <w:rPr>
      <w:rFonts w:ascii="Perpetua Std" w:hAnsi="Perpetua Std"/>
      <w:color w:val="000000"/>
      <w:sz w:val="24"/>
    </w:rPr>
  </w:style>
  <w:style w:type="paragraph" w:customStyle="1" w:styleId="PB">
    <w:name w:val="PB"/>
    <w:rsid w:val="005739DC"/>
    <w:pPr>
      <w:spacing w:after="240"/>
      <w:jc w:val="both"/>
    </w:pPr>
    <w:rPr>
      <w:rFonts w:ascii="Perpetua Std" w:hAnsi="Perpetua Std"/>
      <w:color w:val="000000"/>
      <w:sz w:val="24"/>
    </w:rPr>
  </w:style>
  <w:style w:type="paragraph" w:customStyle="1" w:styleId="PC">
    <w:name w:val="PC"/>
    <w:rsid w:val="005739DC"/>
    <w:pPr>
      <w:tabs>
        <w:tab w:val="left" w:pos="720"/>
      </w:tabs>
      <w:spacing w:after="240"/>
      <w:ind w:left="720" w:hanging="360"/>
      <w:jc w:val="both"/>
    </w:pPr>
    <w:rPr>
      <w:rFonts w:ascii="Perpetua Std" w:hAnsi="Perpetua Std"/>
      <w:color w:val="000000"/>
      <w:sz w:val="24"/>
    </w:rPr>
  </w:style>
  <w:style w:type="paragraph" w:customStyle="1" w:styleId="PD">
    <w:name w:val="PD"/>
    <w:rsid w:val="005739DC"/>
    <w:pPr>
      <w:spacing w:after="240"/>
      <w:ind w:left="720" w:firstLine="288"/>
      <w:jc w:val="both"/>
    </w:pPr>
    <w:rPr>
      <w:rFonts w:ascii="Perpetua Std" w:hAnsi="Perpetua Std"/>
      <w:color w:val="000000"/>
      <w:sz w:val="24"/>
    </w:rPr>
  </w:style>
  <w:style w:type="paragraph" w:customStyle="1" w:styleId="PE">
    <w:name w:val="PE"/>
    <w:rsid w:val="005739DC"/>
    <w:pPr>
      <w:spacing w:after="240"/>
      <w:ind w:left="720"/>
      <w:jc w:val="both"/>
    </w:pPr>
    <w:rPr>
      <w:rFonts w:ascii="Perpetua Std" w:hAnsi="Perpetua Std"/>
      <w:color w:val="000000"/>
      <w:sz w:val="24"/>
    </w:rPr>
  </w:style>
  <w:style w:type="paragraph" w:customStyle="1" w:styleId="PF">
    <w:name w:val="PF"/>
    <w:rsid w:val="005739DC"/>
    <w:pPr>
      <w:tabs>
        <w:tab w:val="left" w:pos="1080"/>
      </w:tabs>
      <w:spacing w:after="240"/>
      <w:ind w:left="1080" w:hanging="360"/>
      <w:jc w:val="both"/>
    </w:pPr>
    <w:rPr>
      <w:rFonts w:ascii="Perpetua Std" w:hAnsi="Perpetua Std"/>
      <w:color w:val="000000"/>
      <w:sz w:val="24"/>
    </w:rPr>
  </w:style>
  <w:style w:type="paragraph" w:customStyle="1" w:styleId="PG">
    <w:name w:val="PG"/>
    <w:rsid w:val="005739DC"/>
    <w:pPr>
      <w:spacing w:after="240"/>
      <w:ind w:left="360"/>
      <w:jc w:val="both"/>
    </w:pPr>
    <w:rPr>
      <w:rFonts w:ascii="Perpetua Std" w:hAnsi="Perpetua Std"/>
      <w:color w:val="000000"/>
      <w:sz w:val="24"/>
    </w:rPr>
  </w:style>
  <w:style w:type="paragraph" w:customStyle="1" w:styleId="PH">
    <w:name w:val="PH"/>
    <w:rsid w:val="005739DC"/>
    <w:pPr>
      <w:tabs>
        <w:tab w:val="left" w:pos="360"/>
      </w:tabs>
      <w:spacing w:after="240"/>
      <w:ind w:left="360" w:hanging="360"/>
      <w:jc w:val="both"/>
    </w:pPr>
    <w:rPr>
      <w:rFonts w:ascii="Perpetua Std" w:hAnsi="Perpetua Std"/>
      <w:color w:val="000000"/>
      <w:sz w:val="24"/>
    </w:rPr>
  </w:style>
  <w:style w:type="paragraph" w:customStyle="1" w:styleId="PI">
    <w:name w:val="PI"/>
    <w:rsid w:val="005739DC"/>
    <w:pPr>
      <w:spacing w:after="240"/>
      <w:ind w:left="360" w:hanging="360"/>
      <w:jc w:val="both"/>
    </w:pPr>
    <w:rPr>
      <w:rFonts w:ascii="Perpetua Std" w:hAnsi="Perpetua Std"/>
      <w:color w:val="000000"/>
      <w:sz w:val="24"/>
    </w:rPr>
  </w:style>
  <w:style w:type="paragraph" w:customStyle="1" w:styleId="PK">
    <w:name w:val="PK"/>
    <w:rsid w:val="005739DC"/>
    <w:pPr>
      <w:spacing w:after="240"/>
      <w:ind w:left="360" w:firstLine="288"/>
      <w:jc w:val="both"/>
    </w:pPr>
    <w:rPr>
      <w:rFonts w:ascii="Perpetua Std" w:hAnsi="Perpetua Std"/>
      <w:color w:val="000000"/>
      <w:sz w:val="24"/>
    </w:rPr>
  </w:style>
  <w:style w:type="paragraph" w:customStyle="1" w:styleId="PL">
    <w:name w:val="PL"/>
    <w:rsid w:val="005739DC"/>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739DC"/>
    <w:pPr>
      <w:spacing w:after="240"/>
      <w:ind w:left="432" w:right="432" w:firstLine="432"/>
      <w:jc w:val="both"/>
    </w:pPr>
    <w:rPr>
      <w:rFonts w:ascii="Minion Pro" w:hAnsi="Minion Pro"/>
    </w:rPr>
  </w:style>
  <w:style w:type="paragraph" w:customStyle="1" w:styleId="TOC">
    <w:name w:val="TOC"/>
    <w:autoRedefine/>
    <w:rsid w:val="005739DC"/>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5739DC"/>
    <w:pPr>
      <w:tabs>
        <w:tab w:val="clear" w:pos="1440"/>
        <w:tab w:val="clear" w:pos="8640"/>
        <w:tab w:val="left" w:pos="240"/>
        <w:tab w:val="left" w:pos="480"/>
        <w:tab w:val="right" w:leader="dot" w:pos="4680"/>
      </w:tabs>
      <w:ind w:left="0" w:firstLine="0"/>
    </w:pPr>
    <w:rPr>
      <w:sz w:val="22"/>
    </w:rPr>
  </w:style>
  <w:style w:type="paragraph" w:customStyle="1" w:styleId="QU">
    <w:name w:val="QU"/>
    <w:rsid w:val="005739DC"/>
    <w:pPr>
      <w:spacing w:after="240"/>
      <w:jc w:val="both"/>
    </w:pPr>
    <w:rPr>
      <w:rFonts w:ascii="Helvetica LT Std" w:hAnsi="Helvetica LT Std"/>
      <w:b/>
      <w:color w:val="000000"/>
      <w:sz w:val="26"/>
    </w:rPr>
  </w:style>
  <w:style w:type="paragraph" w:customStyle="1" w:styleId="PQ">
    <w:name w:val="PQ"/>
    <w:link w:val="PQChar"/>
    <w:rsid w:val="005739DC"/>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5739DC"/>
    <w:rPr>
      <w:rFonts w:ascii="Adobe Caslon Pro" w:hAnsi="Adobe Caslon Pro"/>
      <w:color w:val="000000"/>
      <w:sz w:val="14"/>
    </w:rPr>
  </w:style>
  <w:style w:type="paragraph" w:customStyle="1" w:styleId="HD">
    <w:name w:val="HD"/>
    <w:rsid w:val="005739DC"/>
    <w:pPr>
      <w:suppressAutoHyphens/>
      <w:spacing w:before="120"/>
      <w:jc w:val="center"/>
    </w:pPr>
    <w:rPr>
      <w:rFonts w:ascii="Helvetica LT Std" w:hAnsi="Helvetica LT Std"/>
      <w:sz w:val="26"/>
      <w:szCs w:val="18"/>
    </w:rPr>
  </w:style>
  <w:style w:type="paragraph" w:customStyle="1" w:styleId="PP">
    <w:name w:val="PP"/>
    <w:rsid w:val="005739DC"/>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5739DC"/>
    <w:pPr>
      <w:spacing w:before="120" w:after="120"/>
      <w:jc w:val="center"/>
    </w:pPr>
    <w:rPr>
      <w:rFonts w:ascii="Helvetica LT Std" w:hAnsi="Helvetica LT Std"/>
      <w:sz w:val="24"/>
    </w:rPr>
  </w:style>
  <w:style w:type="paragraph" w:customStyle="1" w:styleId="PN">
    <w:name w:val="PN"/>
    <w:rsid w:val="005739DC"/>
    <w:pPr>
      <w:spacing w:after="240"/>
      <w:ind w:left="720" w:firstLine="288"/>
      <w:jc w:val="both"/>
    </w:pPr>
    <w:rPr>
      <w:rFonts w:ascii="Perpetua Std" w:eastAsia="MS Mincho" w:hAnsi="Perpetua Std"/>
      <w:color w:val="000000"/>
    </w:rPr>
  </w:style>
  <w:style w:type="table" w:styleId="TableGrid">
    <w:name w:val="Table Grid"/>
    <w:basedOn w:val="TableNormal"/>
    <w:rsid w:val="0057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739DC"/>
    <w:rPr>
      <w:vertAlign w:val="superscript"/>
    </w:rPr>
  </w:style>
  <w:style w:type="paragraph" w:customStyle="1" w:styleId="HA">
    <w:name w:val="HA"/>
    <w:autoRedefine/>
    <w:rsid w:val="005739DC"/>
    <w:pPr>
      <w:spacing w:after="240"/>
      <w:jc w:val="center"/>
    </w:pPr>
    <w:rPr>
      <w:rFonts w:ascii="Helvetica LT Std" w:hAnsi="Helvetica LT Std"/>
      <w:b/>
      <w:caps/>
      <w:color w:val="000000"/>
      <w:sz w:val="36"/>
      <w:szCs w:val="32"/>
    </w:rPr>
  </w:style>
  <w:style w:type="paragraph" w:customStyle="1" w:styleId="HB">
    <w:name w:val="HB"/>
    <w:rsid w:val="005739DC"/>
    <w:pPr>
      <w:spacing w:before="120" w:after="240"/>
      <w:jc w:val="center"/>
    </w:pPr>
    <w:rPr>
      <w:rFonts w:ascii="Helvetica LT Std" w:hAnsi="Helvetica LT Std"/>
      <w:b/>
      <w:color w:val="333333"/>
      <w:w w:val="105"/>
      <w:sz w:val="32"/>
    </w:rPr>
  </w:style>
  <w:style w:type="paragraph" w:customStyle="1" w:styleId="HC">
    <w:name w:val="HC"/>
    <w:autoRedefine/>
    <w:rsid w:val="005739DC"/>
    <w:pPr>
      <w:tabs>
        <w:tab w:val="left" w:pos="284"/>
      </w:tabs>
      <w:spacing w:before="120" w:after="120"/>
      <w:jc w:val="center"/>
    </w:pPr>
    <w:rPr>
      <w:rFonts w:ascii="Helvetica LT Std" w:hAnsi="Helvetica LT Std"/>
      <w:b/>
      <w:color w:val="000000"/>
      <w:w w:val="110"/>
      <w:sz w:val="26"/>
    </w:rPr>
  </w:style>
  <w:style w:type="paragraph" w:customStyle="1" w:styleId="PR">
    <w:name w:val="PR"/>
    <w:rsid w:val="005739DC"/>
    <w:pPr>
      <w:spacing w:after="240"/>
      <w:ind w:left="360" w:firstLine="288"/>
      <w:jc w:val="both"/>
    </w:pPr>
    <w:rPr>
      <w:rFonts w:ascii="Adobe Caslon Pro" w:hAnsi="Adobe Caslon Pro"/>
      <w:color w:val="000000"/>
      <w:sz w:val="14"/>
    </w:rPr>
  </w:style>
  <w:style w:type="paragraph" w:customStyle="1" w:styleId="PO">
    <w:name w:val="PO"/>
    <w:rsid w:val="005739DC"/>
    <w:pPr>
      <w:spacing w:after="240"/>
      <w:jc w:val="both"/>
    </w:pPr>
    <w:rPr>
      <w:rFonts w:ascii="Perpetua Std" w:hAnsi="Perpetua Std"/>
      <w:color w:val="000000"/>
      <w:w w:val="95"/>
      <w:szCs w:val="16"/>
    </w:rPr>
  </w:style>
  <w:style w:type="paragraph" w:customStyle="1" w:styleId="GUIDEX">
    <w:name w:val="GUIDEX"/>
    <w:rsid w:val="005739DC"/>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5739DC"/>
    <w:pPr>
      <w:tabs>
        <w:tab w:val="clear" w:pos="240"/>
        <w:tab w:val="clear" w:pos="480"/>
        <w:tab w:val="clear" w:pos="720"/>
        <w:tab w:val="right" w:pos="4680"/>
      </w:tabs>
    </w:pPr>
  </w:style>
  <w:style w:type="paragraph" w:customStyle="1" w:styleId="PCB">
    <w:name w:val="PCB"/>
    <w:autoRedefine/>
    <w:rsid w:val="005739DC"/>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5739DC"/>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5739DC"/>
    <w:rPr>
      <w:rFonts w:ascii="Perpetua Std" w:hAnsi="Perpetua Std"/>
    </w:rPr>
  </w:style>
  <w:style w:type="paragraph" w:styleId="NoSpacing">
    <w:name w:val="No Spacing"/>
    <w:qFormat/>
    <w:rsid w:val="005739DC"/>
    <w:rPr>
      <w:rFonts w:ascii="Perpetua" w:hAnsi="Perpetua"/>
    </w:rPr>
  </w:style>
  <w:style w:type="paragraph" w:customStyle="1" w:styleId="PCA">
    <w:name w:val="PCA"/>
    <w:rsid w:val="005739DC"/>
    <w:pPr>
      <w:numPr>
        <w:numId w:val="22"/>
      </w:numPr>
      <w:tabs>
        <w:tab w:val="left" w:pos="720"/>
      </w:tabs>
      <w:spacing w:after="240"/>
      <w:jc w:val="both"/>
    </w:pPr>
    <w:rPr>
      <w:rFonts w:ascii="Perpetua Std" w:hAnsi="Perpetua Std"/>
      <w:sz w:val="24"/>
    </w:rPr>
  </w:style>
  <w:style w:type="paragraph" w:customStyle="1" w:styleId="PHB">
    <w:name w:val="PHB"/>
    <w:rsid w:val="005739DC"/>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5739DC"/>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8577. Can a taxpayer defer recognition of gain under the like-kind exchange rules if the exchange is made between related parties?</vt:lpstr>
    </vt:vector>
  </TitlesOfParts>
  <Company>National Underwriter</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8577. Can a taxpayer defer recognition of gain under the like-kind exchange rules if the exchange is made between related parties?</dc:title>
  <dc:creator>cjump</dc:creator>
  <cp:lastModifiedBy>rcline</cp:lastModifiedBy>
  <cp:revision>2</cp:revision>
  <dcterms:created xsi:type="dcterms:W3CDTF">2014-08-21T15:10:00Z</dcterms:created>
  <dcterms:modified xsi:type="dcterms:W3CDTF">2014-08-21T15:10:00Z</dcterms:modified>
</cp:coreProperties>
</file>