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B5" w:rsidRPr="005F32DF" w:rsidRDefault="005F32DF" w:rsidP="00B611F0">
      <w:pPr>
        <w:pStyle w:val="PA"/>
        <w:rPr>
          <w:b/>
        </w:rPr>
      </w:pPr>
      <w:bookmarkStart w:id="0" w:name="_GoBack"/>
      <w:bookmarkEnd w:id="0"/>
      <w:r w:rsidRPr="005F32DF">
        <w:rPr>
          <w:b/>
        </w:rPr>
        <w:t>8573.  Are noncash fringe benefits received by an employee subject to the additional Medicare tax?</w:t>
      </w:r>
    </w:p>
    <w:p w:rsidR="00D0255A" w:rsidRDefault="00A37300" w:rsidP="00B611F0">
      <w:pPr>
        <w:pStyle w:val="PA"/>
        <w:rPr>
          <w:b/>
        </w:rPr>
      </w:pPr>
      <w:r>
        <w:t xml:space="preserve">Yes.  </w:t>
      </w:r>
      <w:r w:rsidR="00EA088C">
        <w:t xml:space="preserve">The value of any </w:t>
      </w:r>
      <w:r w:rsidR="00D0255A">
        <w:t xml:space="preserve">taxable </w:t>
      </w:r>
      <w:r w:rsidR="00EA088C">
        <w:t xml:space="preserve">noncash </w:t>
      </w:r>
      <w:r w:rsidR="00BA3E1F">
        <w:t xml:space="preserve">employee </w:t>
      </w:r>
      <w:r w:rsidR="00EA088C">
        <w:t xml:space="preserve">fringe benefits is added to </w:t>
      </w:r>
      <w:r w:rsidR="00BA3E1F">
        <w:t>his or her</w:t>
      </w:r>
      <w:r w:rsidR="00EA088C">
        <w:t xml:space="preserve"> cash wages to determine whether the taxpayer</w:t>
      </w:r>
      <w:r w:rsidR="00BA3E1F">
        <w:t xml:space="preserve">’s overall wage income exceeds </w:t>
      </w:r>
      <w:r w:rsidR="00EA088C">
        <w:t xml:space="preserve">the applicable threshold (see </w:t>
      </w:r>
      <w:r w:rsidR="00C945AB">
        <w:t>Q 85</w:t>
      </w:r>
      <w:r w:rsidR="007948D7">
        <w:t>71</w:t>
      </w:r>
      <w:r w:rsidR="00EA088C">
        <w:t>). If</w:t>
      </w:r>
      <w:r w:rsidR="00AC2869">
        <w:t xml:space="preserve"> so</w:t>
      </w:r>
      <w:r>
        <w:t xml:space="preserve">, </w:t>
      </w:r>
      <w:r w:rsidR="00EA088C">
        <w:t>the excess</w:t>
      </w:r>
      <w:r>
        <w:t xml:space="preserve"> amount</w:t>
      </w:r>
      <w:r w:rsidR="00EA088C">
        <w:t xml:space="preserve"> will be subject to the additional Medicare tax.</w:t>
      </w:r>
      <w:r w:rsidR="00EA088C" w:rsidRPr="00EE7BE5">
        <w:rPr>
          <w:rStyle w:val="FootnoteReference"/>
          <w:color w:val="auto"/>
        </w:rPr>
        <w:footnoteReference w:id="1"/>
      </w:r>
      <w:r w:rsidR="00A02913">
        <w:t xml:space="preserve"> </w:t>
      </w:r>
      <w:r>
        <w:t xml:space="preserve">  Moreover, similar to the payment of only cash wages, if the combined amount of cash wages and taxable noncash fringe benefits exceeds the mandatory wage withholding amount of $200,000 (see Q 8572), the employer must withhold the additional Medicare tax on the excess amount of combined wage income.</w:t>
      </w:r>
      <w:r w:rsidRPr="00EE7BE5">
        <w:rPr>
          <w:rStyle w:val="FootnoteReference"/>
          <w:color w:val="auto"/>
        </w:rPr>
        <w:footnoteReference w:id="2"/>
      </w:r>
      <w:r>
        <w:t xml:space="preserve"> </w:t>
      </w:r>
    </w:p>
    <w:p w:rsidR="00271A21" w:rsidRDefault="00D0255A" w:rsidP="00B611F0">
      <w:pPr>
        <w:pStyle w:val="PA"/>
      </w:pPr>
      <w:r>
        <w:t xml:space="preserve">See </w:t>
      </w:r>
      <w:r w:rsidR="00C945AB">
        <w:t>Q 87</w:t>
      </w:r>
      <w:r w:rsidR="00A02913">
        <w:t xml:space="preserve">32 to </w:t>
      </w:r>
      <w:r w:rsidR="00C945AB">
        <w:t>Q 87</w:t>
      </w:r>
      <w:r w:rsidR="00A02913">
        <w:t xml:space="preserve">58 </w:t>
      </w:r>
      <w:r>
        <w:t>for a discussion of the tax treatment of various noncash fringe benefits.</w:t>
      </w:r>
    </w:p>
    <w:p w:rsidR="00B611F0" w:rsidRPr="00B611F0" w:rsidRDefault="00B611F0" w:rsidP="00B611F0"/>
    <w:sectPr w:rsidR="00B611F0" w:rsidRPr="00B611F0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ED" w:rsidRDefault="006061ED" w:rsidP="00536B05">
      <w:r>
        <w:separator/>
      </w:r>
    </w:p>
  </w:endnote>
  <w:endnote w:type="continuationSeparator" w:id="0">
    <w:p w:rsidR="006061ED" w:rsidRDefault="006061ED" w:rsidP="0053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Perpetu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ED" w:rsidRDefault="006061ED" w:rsidP="00536B05">
      <w:r>
        <w:separator/>
      </w:r>
    </w:p>
  </w:footnote>
  <w:footnote w:type="continuationSeparator" w:id="0">
    <w:p w:rsidR="006061ED" w:rsidRDefault="006061ED" w:rsidP="00536B05">
      <w:r>
        <w:continuationSeparator/>
      </w:r>
    </w:p>
  </w:footnote>
  <w:footnote w:id="1">
    <w:p w:rsidR="00EA088C" w:rsidRPr="00B611F0" w:rsidRDefault="00EA088C" w:rsidP="00EE7BE5">
      <w:pPr>
        <w:pStyle w:val="PQ"/>
      </w:pPr>
      <w:r w:rsidRPr="00B611F0">
        <w:rPr>
          <w:rStyle w:val="FootnoteReference"/>
          <w:vertAlign w:val="baseline"/>
        </w:rPr>
        <w:footnoteRef/>
      </w:r>
      <w:r w:rsidR="001D533C">
        <w:t>.</w:t>
      </w:r>
      <w:r w:rsidR="001D533C">
        <w:tab/>
      </w:r>
      <w:r w:rsidR="00EE7BE5" w:rsidRPr="00B611F0">
        <w:t xml:space="preserve">IRS FAQ, </w:t>
      </w:r>
      <w:r w:rsidR="00EE7BE5" w:rsidRPr="00B611F0">
        <w:rPr>
          <w:i/>
        </w:rPr>
        <w:t>Questions and Answers for the Additional Medicare Tax</w:t>
      </w:r>
      <w:r w:rsidR="00EE7BE5" w:rsidRPr="00B611F0">
        <w:t xml:space="preserve">, available at </w:t>
      </w:r>
      <w:r w:rsidR="00EE7BE5" w:rsidRPr="00A02913">
        <w:t>http://www.irs.gov/Businesses/Small-Businesses-&amp;-Self-Employed/Questions-and-Answers-for-the-Additional-Medicare-Tax</w:t>
      </w:r>
      <w:r w:rsidR="00EE7BE5" w:rsidRPr="00B611F0">
        <w:t xml:space="preserve"> (last accessed </w:t>
      </w:r>
      <w:r w:rsidR="009A6E48">
        <w:t>April 23, 2014</w:t>
      </w:r>
      <w:r w:rsidR="00EE7BE5" w:rsidRPr="00B611F0">
        <w:t>).</w:t>
      </w:r>
    </w:p>
  </w:footnote>
  <w:footnote w:id="2">
    <w:p w:rsidR="00A37300" w:rsidRPr="00B611F0" w:rsidRDefault="00A37300" w:rsidP="00A37300">
      <w:pPr>
        <w:pStyle w:val="PQ"/>
      </w:pPr>
      <w:r w:rsidRPr="00B611F0">
        <w:rPr>
          <w:rStyle w:val="FootnoteReference"/>
          <w:vertAlign w:val="baseline"/>
        </w:rPr>
        <w:footnoteRef/>
      </w:r>
      <w:r>
        <w:t>.</w:t>
      </w:r>
      <w:r>
        <w:tab/>
      </w:r>
      <w:r w:rsidRPr="00B611F0">
        <w:t xml:space="preserve">IRS FAQ, </w:t>
      </w:r>
      <w:r w:rsidRPr="00B611F0">
        <w:rPr>
          <w:i/>
        </w:rPr>
        <w:t>Questions and Answers for the Additional Medicare Tax</w:t>
      </w:r>
      <w:r w:rsidRPr="00B611F0">
        <w:t xml:space="preserve">, available at </w:t>
      </w:r>
      <w:r w:rsidRPr="00A02913">
        <w:t>http://www.irs.gov/Businesses/Small-Businesses-&amp;-Self-Employed/Questions-and-Answers-for-the-Additional-Medicare-Tax</w:t>
      </w:r>
      <w:r w:rsidRPr="00B611F0">
        <w:t xml:space="preserve"> (last accessed </w:t>
      </w:r>
      <w:r>
        <w:t>April 23, 2014</w:t>
      </w:r>
      <w:r w:rsidRPr="00B611F0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BB42CE"/>
    <w:multiLevelType w:val="hybridMultilevel"/>
    <w:tmpl w:val="BF06F940"/>
    <w:lvl w:ilvl="0" w:tplc="60ECB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0CC4"/>
    <w:multiLevelType w:val="hybridMultilevel"/>
    <w:tmpl w:val="B5FE802C"/>
    <w:lvl w:ilvl="0" w:tplc="1D187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3BC110BE"/>
    <w:multiLevelType w:val="hybridMultilevel"/>
    <w:tmpl w:val="9AE02338"/>
    <w:lvl w:ilvl="0" w:tplc="A9B40ADA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084466"/>
    <w:multiLevelType w:val="hybridMultilevel"/>
    <w:tmpl w:val="20E2C94C"/>
    <w:lvl w:ilvl="0" w:tplc="1C4AC2D0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97F1EEF"/>
    <w:multiLevelType w:val="hybridMultilevel"/>
    <w:tmpl w:val="AE080146"/>
    <w:lvl w:ilvl="0" w:tplc="D3725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592209"/>
    <w:multiLevelType w:val="hybridMultilevel"/>
    <w:tmpl w:val="601CAE42"/>
    <w:lvl w:ilvl="0" w:tplc="E9261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0"/>
  </w:num>
  <w:num w:numId="9">
    <w:abstractNumId w:val="6"/>
  </w:num>
  <w:num w:numId="10">
    <w:abstractNumId w:val="16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ED"/>
    <w:rsid w:val="00012D94"/>
    <w:rsid w:val="00025E46"/>
    <w:rsid w:val="0003025A"/>
    <w:rsid w:val="00060618"/>
    <w:rsid w:val="00065361"/>
    <w:rsid w:val="00094E50"/>
    <w:rsid w:val="000A37F8"/>
    <w:rsid w:val="000C1C63"/>
    <w:rsid w:val="000D179D"/>
    <w:rsid w:val="000D7E02"/>
    <w:rsid w:val="000F17EB"/>
    <w:rsid w:val="00100BAD"/>
    <w:rsid w:val="00114A17"/>
    <w:rsid w:val="00114F7E"/>
    <w:rsid w:val="0011643A"/>
    <w:rsid w:val="001319DE"/>
    <w:rsid w:val="00133EA9"/>
    <w:rsid w:val="00165EB2"/>
    <w:rsid w:val="00166A3D"/>
    <w:rsid w:val="001A5CC6"/>
    <w:rsid w:val="001C2D8B"/>
    <w:rsid w:val="001D533C"/>
    <w:rsid w:val="001E59F3"/>
    <w:rsid w:val="001F4588"/>
    <w:rsid w:val="001F52F4"/>
    <w:rsid w:val="002165B5"/>
    <w:rsid w:val="00236EBA"/>
    <w:rsid w:val="00257104"/>
    <w:rsid w:val="00267E98"/>
    <w:rsid w:val="00271A21"/>
    <w:rsid w:val="0027540F"/>
    <w:rsid w:val="00282D04"/>
    <w:rsid w:val="0028552C"/>
    <w:rsid w:val="0029477C"/>
    <w:rsid w:val="00296983"/>
    <w:rsid w:val="002B3FE0"/>
    <w:rsid w:val="002C7FE6"/>
    <w:rsid w:val="002F5B3D"/>
    <w:rsid w:val="00307615"/>
    <w:rsid w:val="003136E3"/>
    <w:rsid w:val="00317415"/>
    <w:rsid w:val="00365BC3"/>
    <w:rsid w:val="003F5AA4"/>
    <w:rsid w:val="00424FBB"/>
    <w:rsid w:val="00437CBE"/>
    <w:rsid w:val="00455D1D"/>
    <w:rsid w:val="004753B6"/>
    <w:rsid w:val="004A4C0D"/>
    <w:rsid w:val="004A7339"/>
    <w:rsid w:val="004B1350"/>
    <w:rsid w:val="004B4494"/>
    <w:rsid w:val="004F1F2A"/>
    <w:rsid w:val="004F6325"/>
    <w:rsid w:val="004F6C3F"/>
    <w:rsid w:val="00507D5E"/>
    <w:rsid w:val="00516BDA"/>
    <w:rsid w:val="00536354"/>
    <w:rsid w:val="00536B05"/>
    <w:rsid w:val="0055218C"/>
    <w:rsid w:val="0055609B"/>
    <w:rsid w:val="005828EC"/>
    <w:rsid w:val="00584B8C"/>
    <w:rsid w:val="0059765D"/>
    <w:rsid w:val="005C50ED"/>
    <w:rsid w:val="005F32DF"/>
    <w:rsid w:val="005F747A"/>
    <w:rsid w:val="005F7C9B"/>
    <w:rsid w:val="006061ED"/>
    <w:rsid w:val="00623E77"/>
    <w:rsid w:val="006656BE"/>
    <w:rsid w:val="006A2941"/>
    <w:rsid w:val="006B29BA"/>
    <w:rsid w:val="006F4200"/>
    <w:rsid w:val="006F4885"/>
    <w:rsid w:val="00746177"/>
    <w:rsid w:val="00777AF6"/>
    <w:rsid w:val="007948D7"/>
    <w:rsid w:val="007A3089"/>
    <w:rsid w:val="007B0BC4"/>
    <w:rsid w:val="007C1E0C"/>
    <w:rsid w:val="007C6582"/>
    <w:rsid w:val="007D73C8"/>
    <w:rsid w:val="007D7788"/>
    <w:rsid w:val="007F000B"/>
    <w:rsid w:val="00801263"/>
    <w:rsid w:val="00853ACB"/>
    <w:rsid w:val="00856358"/>
    <w:rsid w:val="008B16D5"/>
    <w:rsid w:val="008B183A"/>
    <w:rsid w:val="00917D5C"/>
    <w:rsid w:val="0093676A"/>
    <w:rsid w:val="00994A42"/>
    <w:rsid w:val="009A6E48"/>
    <w:rsid w:val="009B2364"/>
    <w:rsid w:val="00A02913"/>
    <w:rsid w:val="00A02AF1"/>
    <w:rsid w:val="00A06D94"/>
    <w:rsid w:val="00A153DC"/>
    <w:rsid w:val="00A22ABD"/>
    <w:rsid w:val="00A37300"/>
    <w:rsid w:val="00A43D8E"/>
    <w:rsid w:val="00A56136"/>
    <w:rsid w:val="00A804B9"/>
    <w:rsid w:val="00A922D5"/>
    <w:rsid w:val="00AC2869"/>
    <w:rsid w:val="00B611F0"/>
    <w:rsid w:val="00B952C4"/>
    <w:rsid w:val="00BA3E1F"/>
    <w:rsid w:val="00BA5395"/>
    <w:rsid w:val="00BE5482"/>
    <w:rsid w:val="00C00ED3"/>
    <w:rsid w:val="00C107DC"/>
    <w:rsid w:val="00C2301C"/>
    <w:rsid w:val="00C7171A"/>
    <w:rsid w:val="00C80247"/>
    <w:rsid w:val="00C9212A"/>
    <w:rsid w:val="00C945AB"/>
    <w:rsid w:val="00CB5DE6"/>
    <w:rsid w:val="00D0255A"/>
    <w:rsid w:val="00D279A1"/>
    <w:rsid w:val="00D34A75"/>
    <w:rsid w:val="00D63101"/>
    <w:rsid w:val="00D655FB"/>
    <w:rsid w:val="00D81626"/>
    <w:rsid w:val="00D97308"/>
    <w:rsid w:val="00DB3829"/>
    <w:rsid w:val="00DD2422"/>
    <w:rsid w:val="00DD4C52"/>
    <w:rsid w:val="00DF18F4"/>
    <w:rsid w:val="00E019D6"/>
    <w:rsid w:val="00E45470"/>
    <w:rsid w:val="00E604DB"/>
    <w:rsid w:val="00E64400"/>
    <w:rsid w:val="00E76CBA"/>
    <w:rsid w:val="00E8050C"/>
    <w:rsid w:val="00E90801"/>
    <w:rsid w:val="00E94F6A"/>
    <w:rsid w:val="00EA088C"/>
    <w:rsid w:val="00EB7F5A"/>
    <w:rsid w:val="00EE7BE5"/>
    <w:rsid w:val="00EF384A"/>
    <w:rsid w:val="00F22DA6"/>
    <w:rsid w:val="00F43D0A"/>
    <w:rsid w:val="00F5790C"/>
    <w:rsid w:val="00F77101"/>
    <w:rsid w:val="00F97395"/>
    <w:rsid w:val="00F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025E46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025E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25E4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025E4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025E46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styleId="FootnoteText">
    <w:name w:val="footnote text"/>
    <w:basedOn w:val="Normal"/>
    <w:link w:val="FootnoteTextChar"/>
    <w:rsid w:val="00536B05"/>
  </w:style>
  <w:style w:type="character" w:customStyle="1" w:styleId="FootnoteTextChar">
    <w:name w:val="Footnote Text Char"/>
    <w:link w:val="FootnoteText"/>
    <w:rsid w:val="00536B05"/>
    <w:rPr>
      <w:sz w:val="20"/>
      <w:szCs w:val="20"/>
    </w:rPr>
  </w:style>
  <w:style w:type="character" w:styleId="FootnoteReference">
    <w:name w:val="footnote reference"/>
    <w:rsid w:val="00025E46"/>
    <w:rPr>
      <w:vertAlign w:val="superscript"/>
    </w:rPr>
  </w:style>
  <w:style w:type="paragraph" w:customStyle="1" w:styleId="PA">
    <w:name w:val="PA"/>
    <w:next w:val="Normal"/>
    <w:link w:val="PAChar"/>
    <w:rsid w:val="00025E46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025E46"/>
    <w:rPr>
      <w:rFonts w:ascii="Perpetua Std" w:hAnsi="Perpetua Std"/>
      <w:color w:val="000000"/>
      <w:sz w:val="24"/>
    </w:rPr>
  </w:style>
  <w:style w:type="character" w:styleId="Hyperlink">
    <w:name w:val="Hyperlink"/>
    <w:rsid w:val="00A80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1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25E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11F0"/>
    <w:rPr>
      <w:rFonts w:ascii="Perpetua Std" w:hAnsi="Perpetua Std"/>
    </w:rPr>
  </w:style>
  <w:style w:type="paragraph" w:styleId="Header">
    <w:name w:val="header"/>
    <w:basedOn w:val="Normal"/>
    <w:link w:val="HeaderChar"/>
    <w:rsid w:val="00025E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11F0"/>
    <w:rPr>
      <w:rFonts w:ascii="Perpetua Std" w:hAnsi="Perpetua Std"/>
    </w:rPr>
  </w:style>
  <w:style w:type="paragraph" w:customStyle="1" w:styleId="Standard">
    <w:name w:val="Standard"/>
    <w:rsid w:val="00025E46"/>
    <w:pPr>
      <w:spacing w:before="144"/>
      <w:jc w:val="both"/>
    </w:pPr>
    <w:rPr>
      <w:noProof/>
    </w:rPr>
  </w:style>
  <w:style w:type="paragraph" w:customStyle="1" w:styleId="PB">
    <w:name w:val="PB"/>
    <w:rsid w:val="00025E46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025E46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025E46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025E46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025E46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025E46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025E46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025E46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025E46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025E46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025E46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025E46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025E46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Q">
    <w:name w:val="PQ"/>
    <w:link w:val="PQChar"/>
    <w:rsid w:val="00025E46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025E46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025E46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025E46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025E46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025E46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02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025E46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025E46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025E46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025E46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025E46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025E46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025E46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025E46"/>
    <w:pPr>
      <w:numPr>
        <w:numId w:val="13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025E46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025E46"/>
    <w:rPr>
      <w:rFonts w:ascii="Perpetua Std" w:hAnsi="Perpetua Std"/>
    </w:rPr>
  </w:style>
  <w:style w:type="paragraph" w:styleId="NoSpacing">
    <w:name w:val="No Spacing"/>
    <w:qFormat/>
    <w:rsid w:val="00025E46"/>
    <w:rPr>
      <w:rFonts w:ascii="Perpetua" w:hAnsi="Perpetua"/>
    </w:rPr>
  </w:style>
  <w:style w:type="paragraph" w:customStyle="1" w:styleId="PCA">
    <w:name w:val="PCA"/>
    <w:rsid w:val="00025E46"/>
    <w:pPr>
      <w:numPr>
        <w:numId w:val="16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025E46"/>
    <w:pPr>
      <w:numPr>
        <w:numId w:val="17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025E46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025E46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025E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25E4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025E4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025E46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styleId="FootnoteText">
    <w:name w:val="footnote text"/>
    <w:basedOn w:val="Normal"/>
    <w:link w:val="FootnoteTextChar"/>
    <w:rsid w:val="00536B05"/>
  </w:style>
  <w:style w:type="character" w:customStyle="1" w:styleId="FootnoteTextChar">
    <w:name w:val="Footnote Text Char"/>
    <w:link w:val="FootnoteText"/>
    <w:rsid w:val="00536B05"/>
    <w:rPr>
      <w:sz w:val="20"/>
      <w:szCs w:val="20"/>
    </w:rPr>
  </w:style>
  <w:style w:type="character" w:styleId="FootnoteReference">
    <w:name w:val="footnote reference"/>
    <w:rsid w:val="00025E46"/>
    <w:rPr>
      <w:vertAlign w:val="superscript"/>
    </w:rPr>
  </w:style>
  <w:style w:type="paragraph" w:customStyle="1" w:styleId="PA">
    <w:name w:val="PA"/>
    <w:next w:val="Normal"/>
    <w:link w:val="PAChar"/>
    <w:rsid w:val="00025E46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025E46"/>
    <w:rPr>
      <w:rFonts w:ascii="Perpetua Std" w:hAnsi="Perpetua Std"/>
      <w:color w:val="000000"/>
      <w:sz w:val="24"/>
    </w:rPr>
  </w:style>
  <w:style w:type="character" w:styleId="Hyperlink">
    <w:name w:val="Hyperlink"/>
    <w:rsid w:val="00A80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1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25E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11F0"/>
    <w:rPr>
      <w:rFonts w:ascii="Perpetua Std" w:hAnsi="Perpetua Std"/>
    </w:rPr>
  </w:style>
  <w:style w:type="paragraph" w:styleId="Header">
    <w:name w:val="header"/>
    <w:basedOn w:val="Normal"/>
    <w:link w:val="HeaderChar"/>
    <w:rsid w:val="00025E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11F0"/>
    <w:rPr>
      <w:rFonts w:ascii="Perpetua Std" w:hAnsi="Perpetua Std"/>
    </w:rPr>
  </w:style>
  <w:style w:type="paragraph" w:customStyle="1" w:styleId="Standard">
    <w:name w:val="Standard"/>
    <w:rsid w:val="00025E46"/>
    <w:pPr>
      <w:spacing w:before="144"/>
      <w:jc w:val="both"/>
    </w:pPr>
    <w:rPr>
      <w:noProof/>
    </w:rPr>
  </w:style>
  <w:style w:type="paragraph" w:customStyle="1" w:styleId="PB">
    <w:name w:val="PB"/>
    <w:rsid w:val="00025E46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025E46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025E46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025E46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025E46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025E46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025E46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025E46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025E46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025E46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025E46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025E46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025E46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Q">
    <w:name w:val="PQ"/>
    <w:link w:val="PQChar"/>
    <w:rsid w:val="00025E46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025E46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025E46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025E46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025E46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025E46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02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025E46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025E46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025E46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025E46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025E46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025E46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025E46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025E46"/>
    <w:pPr>
      <w:numPr>
        <w:numId w:val="13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025E46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025E46"/>
    <w:rPr>
      <w:rFonts w:ascii="Perpetua Std" w:hAnsi="Perpetua Std"/>
    </w:rPr>
  </w:style>
  <w:style w:type="paragraph" w:styleId="NoSpacing">
    <w:name w:val="No Spacing"/>
    <w:qFormat/>
    <w:rsid w:val="00025E46"/>
    <w:rPr>
      <w:rFonts w:ascii="Perpetua" w:hAnsi="Perpetua"/>
    </w:rPr>
  </w:style>
  <w:style w:type="paragraph" w:customStyle="1" w:styleId="PCA">
    <w:name w:val="PCA"/>
    <w:rsid w:val="00025E46"/>
    <w:pPr>
      <w:numPr>
        <w:numId w:val="16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025E46"/>
    <w:pPr>
      <w:numPr>
        <w:numId w:val="17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025E46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8573. Are noncash fringe benefits received by an employee subject to the additional Medicare tax?</vt:lpstr>
    </vt:vector>
  </TitlesOfParts>
  <Company>Summit Business Media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8573. Are noncash fringe benefits received by an employee subject to the additional Medicare tax?</dc:title>
  <dc:creator>Alexis Long</dc:creator>
  <cp:lastModifiedBy>rcline</cp:lastModifiedBy>
  <cp:revision>2</cp:revision>
  <dcterms:created xsi:type="dcterms:W3CDTF">2014-07-09T14:00:00Z</dcterms:created>
  <dcterms:modified xsi:type="dcterms:W3CDTF">2014-07-09T14:00:00Z</dcterms:modified>
</cp:coreProperties>
</file>