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863" w:rsidRPr="006C6863" w:rsidRDefault="006C6863" w:rsidP="00B611F0">
      <w:pPr>
        <w:pStyle w:val="PA"/>
        <w:rPr>
          <w:b/>
        </w:rPr>
      </w:pPr>
      <w:r w:rsidRPr="006C6863">
        <w:rPr>
          <w:b/>
        </w:rPr>
        <w:t>8572. If one spouse</w:t>
      </w:r>
      <w:r w:rsidR="00760B46">
        <w:rPr>
          <w:b/>
        </w:rPr>
        <w:t>’s wages exceed</w:t>
      </w:r>
      <w:r w:rsidR="00C608C7">
        <w:rPr>
          <w:b/>
        </w:rPr>
        <w:t>s</w:t>
      </w:r>
      <w:r w:rsidRPr="006C6863">
        <w:rPr>
          <w:b/>
        </w:rPr>
        <w:t xml:space="preserve"> $200,000</w:t>
      </w:r>
      <w:r w:rsidR="005E0CD3">
        <w:rPr>
          <w:b/>
        </w:rPr>
        <w:t>,</w:t>
      </w:r>
      <w:r w:rsidRPr="006C6863">
        <w:rPr>
          <w:b/>
        </w:rPr>
        <w:t xml:space="preserve"> </w:t>
      </w:r>
      <w:r w:rsidR="00843C60">
        <w:rPr>
          <w:b/>
        </w:rPr>
        <w:t xml:space="preserve">triggering </w:t>
      </w:r>
      <w:r w:rsidR="00760B46">
        <w:rPr>
          <w:b/>
        </w:rPr>
        <w:t xml:space="preserve">mandatory </w:t>
      </w:r>
      <w:r w:rsidR="00843C60">
        <w:rPr>
          <w:b/>
        </w:rPr>
        <w:t xml:space="preserve">withholding by the employer </w:t>
      </w:r>
      <w:r w:rsidR="004903C8">
        <w:rPr>
          <w:b/>
        </w:rPr>
        <w:t xml:space="preserve">of the additional Medicare </w:t>
      </w:r>
      <w:r w:rsidR="00760B46">
        <w:rPr>
          <w:b/>
        </w:rPr>
        <w:t xml:space="preserve">tax, </w:t>
      </w:r>
      <w:r w:rsidRPr="006C6863">
        <w:rPr>
          <w:b/>
        </w:rPr>
        <w:t xml:space="preserve">but </w:t>
      </w:r>
      <w:r w:rsidR="00760B46">
        <w:rPr>
          <w:b/>
        </w:rPr>
        <w:t xml:space="preserve">when combined with </w:t>
      </w:r>
      <w:r w:rsidRPr="006C6863">
        <w:rPr>
          <w:b/>
        </w:rPr>
        <w:t xml:space="preserve">the second spouse’s </w:t>
      </w:r>
      <w:r w:rsidR="00760B46">
        <w:rPr>
          <w:b/>
        </w:rPr>
        <w:t>wages</w:t>
      </w:r>
      <w:r w:rsidR="001037FC">
        <w:rPr>
          <w:b/>
        </w:rPr>
        <w:t xml:space="preserve">, the couple’s wages are </w:t>
      </w:r>
      <w:r w:rsidR="006C0901">
        <w:rPr>
          <w:b/>
        </w:rPr>
        <w:t>less than t</w:t>
      </w:r>
      <w:r w:rsidRPr="006C6863">
        <w:rPr>
          <w:b/>
        </w:rPr>
        <w:t xml:space="preserve">he </w:t>
      </w:r>
      <w:r w:rsidR="00760B46">
        <w:rPr>
          <w:b/>
        </w:rPr>
        <w:t xml:space="preserve">$250,000 </w:t>
      </w:r>
      <w:r w:rsidRPr="006C6863">
        <w:rPr>
          <w:b/>
        </w:rPr>
        <w:t>threshold for married taxpayers</w:t>
      </w:r>
      <w:r w:rsidR="006E5C0B">
        <w:rPr>
          <w:b/>
        </w:rPr>
        <w:t xml:space="preserve"> </w:t>
      </w:r>
      <w:r w:rsidR="006C0901">
        <w:rPr>
          <w:b/>
        </w:rPr>
        <w:t xml:space="preserve">filing jointly </w:t>
      </w:r>
      <w:r w:rsidR="006E5C0B">
        <w:rPr>
          <w:b/>
        </w:rPr>
        <w:t>(meaning there is no additional Medicare tax owing)</w:t>
      </w:r>
      <w:r w:rsidRPr="006C6863">
        <w:rPr>
          <w:b/>
        </w:rPr>
        <w:t xml:space="preserve">, </w:t>
      </w:r>
      <w:r w:rsidR="00760B46">
        <w:rPr>
          <w:b/>
        </w:rPr>
        <w:t xml:space="preserve">can the first spouse request his or her employer </w:t>
      </w:r>
      <w:r w:rsidR="006C0901">
        <w:rPr>
          <w:b/>
        </w:rPr>
        <w:t xml:space="preserve">not to withhold the </w:t>
      </w:r>
      <w:r w:rsidRPr="006C6863">
        <w:rPr>
          <w:b/>
        </w:rPr>
        <w:t>additional Medicare tax?</w:t>
      </w:r>
    </w:p>
    <w:p w:rsidR="007059EF" w:rsidRDefault="00760B46" w:rsidP="006C6863">
      <w:pPr>
        <w:pStyle w:val="PA"/>
      </w:pPr>
      <w:r>
        <w:t>No.  Pursuant to IRC Section 3102(a), once an employee’s wages exceed $200,000</w:t>
      </w:r>
      <w:r w:rsidR="001037FC">
        <w:t xml:space="preserve"> (the mandatory</w:t>
      </w:r>
      <w:r w:rsidR="00012B2A">
        <w:t xml:space="preserve"> wage</w:t>
      </w:r>
      <w:r w:rsidR="001037FC">
        <w:t xml:space="preserve"> withholding amount)</w:t>
      </w:r>
      <w:r>
        <w:t xml:space="preserve">, the employer </w:t>
      </w:r>
      <w:r w:rsidR="006C0901">
        <w:t xml:space="preserve">must </w:t>
      </w:r>
      <w:r>
        <w:t xml:space="preserve">withhold </w:t>
      </w:r>
      <w:r w:rsidR="001037FC">
        <w:t xml:space="preserve">0.9% of the excess </w:t>
      </w:r>
      <w:r w:rsidR="00012B2A">
        <w:t xml:space="preserve">amount </w:t>
      </w:r>
      <w:r w:rsidR="006C0901">
        <w:t xml:space="preserve">even if the </w:t>
      </w:r>
      <w:r>
        <w:t xml:space="preserve">employee </w:t>
      </w:r>
      <w:r w:rsidR="00012B2A">
        <w:t>does not actually owe any</w:t>
      </w:r>
      <w:r>
        <w:t xml:space="preserve"> </w:t>
      </w:r>
      <w:r w:rsidR="001037FC">
        <w:t xml:space="preserve">additional Medicare </w:t>
      </w:r>
      <w:r>
        <w:t xml:space="preserve">tax.  </w:t>
      </w:r>
      <w:r w:rsidR="006C0901">
        <w:t xml:space="preserve">So </w:t>
      </w:r>
      <w:r w:rsidR="005E0CD3">
        <w:t xml:space="preserve">for wages in excess of </w:t>
      </w:r>
      <w:r w:rsidR="00012B2A">
        <w:t xml:space="preserve">$200,000, </w:t>
      </w:r>
      <w:r w:rsidR="006C0901">
        <w:t xml:space="preserve">the employer </w:t>
      </w:r>
      <w:r w:rsidR="001037FC">
        <w:t xml:space="preserve">must </w:t>
      </w:r>
      <w:r w:rsidR="006C0901">
        <w:t xml:space="preserve">withhold the additional Medicare tax </w:t>
      </w:r>
      <w:r w:rsidR="00F56711">
        <w:t xml:space="preserve">even </w:t>
      </w:r>
      <w:r w:rsidR="00012B2A">
        <w:t xml:space="preserve">if those wages combined with his or her spouse’s wages </w:t>
      </w:r>
      <w:r w:rsidR="00A22ABD">
        <w:t>do</w:t>
      </w:r>
      <w:r w:rsidR="00A804B9">
        <w:t xml:space="preserve"> </w:t>
      </w:r>
      <w:r w:rsidR="00A804B9">
        <w:rPr>
          <w:i/>
        </w:rPr>
        <w:t>not</w:t>
      </w:r>
      <w:r w:rsidR="00A804B9">
        <w:t xml:space="preserve"> exceed the </w:t>
      </w:r>
      <w:r w:rsidR="006C0901">
        <w:t xml:space="preserve">applicable </w:t>
      </w:r>
      <w:r w:rsidR="00A804B9">
        <w:t>threshold</w:t>
      </w:r>
      <w:r w:rsidR="00012B2A">
        <w:t xml:space="preserve"> for a married couple filing jointly</w:t>
      </w:r>
      <w:r w:rsidR="00A804B9">
        <w:t xml:space="preserve"> </w:t>
      </w:r>
      <w:r w:rsidR="006C0901">
        <w:t>($250,000)</w:t>
      </w:r>
      <w:r w:rsidR="00A804B9">
        <w:t>.</w:t>
      </w:r>
      <w:r w:rsidR="00A804B9" w:rsidRPr="00EE7BE5">
        <w:rPr>
          <w:rStyle w:val="FootnoteReference"/>
          <w:color w:val="auto"/>
        </w:rPr>
        <w:footnoteReference w:id="1"/>
      </w:r>
      <w:r w:rsidR="006E5C0B">
        <w:t xml:space="preserve">  </w:t>
      </w:r>
      <w:r w:rsidR="00012B2A">
        <w:t xml:space="preserve">To the extent the amount withheld exceeds the employee’s liability, </w:t>
      </w:r>
      <w:r w:rsidR="006E5C0B">
        <w:t xml:space="preserve">the employee’s remedy </w:t>
      </w:r>
      <w:r w:rsidR="008847C9">
        <w:t xml:space="preserve">is </w:t>
      </w:r>
      <w:r w:rsidR="006E5C0B">
        <w:t xml:space="preserve">to </w:t>
      </w:r>
      <w:r w:rsidR="00843C60">
        <w:t xml:space="preserve">apply it as a payment against other tax </w:t>
      </w:r>
      <w:r w:rsidR="005E0CD3">
        <w:t xml:space="preserve">he or she may owe </w:t>
      </w:r>
      <w:r w:rsidR="00843C60">
        <w:t>or</w:t>
      </w:r>
      <w:r w:rsidR="006E5C0B">
        <w:t xml:space="preserve"> receive a refund </w:t>
      </w:r>
      <w:r w:rsidR="006F4885">
        <w:t>for</w:t>
      </w:r>
      <w:r w:rsidR="006E5C0B">
        <w:t xml:space="preserve"> </w:t>
      </w:r>
      <w:r w:rsidR="008847C9">
        <w:t>the</w:t>
      </w:r>
      <w:r w:rsidR="00A804B9">
        <w:t xml:space="preserve"> </w:t>
      </w:r>
      <w:r w:rsidR="006C0901">
        <w:t xml:space="preserve">excessive </w:t>
      </w:r>
      <w:r w:rsidR="00012B2A">
        <w:t>withholding</w:t>
      </w:r>
      <w:r w:rsidR="006E5C0B">
        <w:t>.</w:t>
      </w:r>
      <w:r w:rsidR="007059EF">
        <w:t xml:space="preserve">  </w:t>
      </w:r>
    </w:p>
    <w:p w:rsidR="007059EF" w:rsidRPr="006C6863" w:rsidRDefault="007059EF" w:rsidP="007059EF">
      <w:pPr>
        <w:pStyle w:val="PA"/>
        <w:rPr>
          <w:b/>
        </w:rPr>
      </w:pPr>
      <w:r w:rsidRPr="007059EF">
        <w:rPr>
          <w:b/>
        </w:rPr>
        <w:t>8572.0</w:t>
      </w:r>
      <w:r w:rsidR="00C608C7">
        <w:rPr>
          <w:b/>
        </w:rPr>
        <w:t>2</w:t>
      </w:r>
      <w:r w:rsidRPr="007059EF">
        <w:rPr>
          <w:b/>
        </w:rPr>
        <w:t xml:space="preserve"> What are the </w:t>
      </w:r>
      <w:r w:rsidR="004903C8">
        <w:rPr>
          <w:b/>
        </w:rPr>
        <w:t xml:space="preserve">consequences of an employer’s failure to withhold </w:t>
      </w:r>
      <w:r w:rsidRPr="007059EF">
        <w:rPr>
          <w:b/>
        </w:rPr>
        <w:t xml:space="preserve">the additional Medicare tax </w:t>
      </w:r>
      <w:r w:rsidR="004903C8">
        <w:rPr>
          <w:b/>
        </w:rPr>
        <w:t>that an employee is liable to pay</w:t>
      </w:r>
      <w:r w:rsidRPr="007059EF">
        <w:rPr>
          <w:b/>
        </w:rPr>
        <w:t xml:space="preserve">? </w:t>
      </w:r>
    </w:p>
    <w:p w:rsidR="00574D0E" w:rsidRDefault="007059EF" w:rsidP="007059EF">
      <w:pPr>
        <w:pStyle w:val="PA"/>
      </w:pPr>
      <w:r w:rsidRPr="007059EF">
        <w:t>Th</w:t>
      </w:r>
      <w:r w:rsidR="004903C8">
        <w:t>ere are several</w:t>
      </w:r>
      <w:r w:rsidR="00D307E4">
        <w:t xml:space="preserve"> possible ways that an employer </w:t>
      </w:r>
      <w:r w:rsidR="008847C9">
        <w:t xml:space="preserve">might </w:t>
      </w:r>
      <w:r w:rsidR="00D307E4">
        <w:t>fail to withhold the additiona</w:t>
      </w:r>
      <w:r w:rsidR="004903C8">
        <w:t xml:space="preserve">l Medicare </w:t>
      </w:r>
      <w:r w:rsidR="00D307E4">
        <w:t>tax</w:t>
      </w:r>
      <w:r w:rsidR="004903C8">
        <w:t xml:space="preserve"> an employee is liable to pay.  For example, </w:t>
      </w:r>
      <w:r w:rsidR="00012B2A">
        <w:t xml:space="preserve">it might </w:t>
      </w:r>
      <w:r w:rsidR="006C0901">
        <w:t xml:space="preserve">occur </w:t>
      </w:r>
      <w:r w:rsidR="00012B2A">
        <w:t xml:space="preserve">if </w:t>
      </w:r>
      <w:r w:rsidR="006E5C0B">
        <w:t xml:space="preserve">both spouses </w:t>
      </w:r>
      <w:r w:rsidR="00847DB7">
        <w:t xml:space="preserve">individually earn wages </w:t>
      </w:r>
      <w:r w:rsidR="006E5C0B">
        <w:t>under the mandatory $200,000 withholding amount</w:t>
      </w:r>
      <w:r w:rsidR="006C0901">
        <w:t xml:space="preserve">.  </w:t>
      </w:r>
      <w:r w:rsidR="00D3275F">
        <w:t xml:space="preserve">So, if </w:t>
      </w:r>
      <w:r w:rsidR="004903C8">
        <w:t xml:space="preserve">one spouse has wages of $100,000 and </w:t>
      </w:r>
      <w:r w:rsidR="00037BCF">
        <w:t>the other spouse has wages of $199,000</w:t>
      </w:r>
      <w:r w:rsidR="00D3275F">
        <w:t xml:space="preserve">, </w:t>
      </w:r>
      <w:r w:rsidR="008847C9">
        <w:t xml:space="preserve">neither spouse’s wages </w:t>
      </w:r>
      <w:r w:rsidR="00843C60">
        <w:t>are subject to mandatory withholding</w:t>
      </w:r>
      <w:r w:rsidR="00012B2A">
        <w:t xml:space="preserve">.  </w:t>
      </w:r>
      <w:r w:rsidR="00D3275F">
        <w:t xml:space="preserve">Yet, </w:t>
      </w:r>
      <w:r w:rsidR="005E0CD3">
        <w:t xml:space="preserve">because </w:t>
      </w:r>
      <w:r w:rsidR="004903C8">
        <w:t>the couple’</w:t>
      </w:r>
      <w:r w:rsidR="00574D0E">
        <w:t xml:space="preserve">s combined wages </w:t>
      </w:r>
      <w:r w:rsidR="008847C9">
        <w:t xml:space="preserve">of </w:t>
      </w:r>
      <w:r w:rsidR="00574D0E">
        <w:t>$299,</w:t>
      </w:r>
      <w:r w:rsidR="004903C8">
        <w:t>000</w:t>
      </w:r>
      <w:r w:rsidR="00D3275F">
        <w:t xml:space="preserve"> </w:t>
      </w:r>
      <w:r w:rsidR="005E0CD3">
        <w:t xml:space="preserve">exceed the $250,000 applicable threshold by $49,000, they must </w:t>
      </w:r>
      <w:r w:rsidR="00843C60">
        <w:t xml:space="preserve">pay the </w:t>
      </w:r>
      <w:r w:rsidR="008847C9">
        <w:t xml:space="preserve">additional Medicare tax </w:t>
      </w:r>
      <w:r w:rsidR="005E0CD3">
        <w:t>on that amount.</w:t>
      </w:r>
      <w:r w:rsidR="00574D0E">
        <w:t xml:space="preserve">  Thus, </w:t>
      </w:r>
      <w:r w:rsidR="005E0CD3">
        <w:t xml:space="preserve">on </w:t>
      </w:r>
      <w:r w:rsidR="00847DB7">
        <w:t xml:space="preserve">Form 8959, the </w:t>
      </w:r>
      <w:r w:rsidR="008847C9">
        <w:t>couple would compute the additional Medicare tax of 0.9% on</w:t>
      </w:r>
      <w:r w:rsidR="007D7E9B">
        <w:t xml:space="preserve"> $49</w:t>
      </w:r>
      <w:r w:rsidR="008847C9">
        <w:t>,000</w:t>
      </w:r>
      <w:r w:rsidR="00847DB7">
        <w:t xml:space="preserve"> – reporting it </w:t>
      </w:r>
      <w:r w:rsidR="008847C9">
        <w:t>on line 60 of Form 1040.</w:t>
      </w:r>
      <w:r w:rsidR="00574D0E">
        <w:rPr>
          <w:rStyle w:val="FootnoteReference"/>
        </w:rPr>
        <w:footnoteReference w:id="2"/>
      </w:r>
    </w:p>
    <w:p w:rsidR="007059EF" w:rsidRPr="007059EF" w:rsidRDefault="00574D0E" w:rsidP="007059EF">
      <w:pPr>
        <w:pStyle w:val="PA"/>
      </w:pPr>
      <w:r>
        <w:t xml:space="preserve">On the other hand, an employer obligated to withhold the additional Medicare tax on wages in excess of $200,000 may </w:t>
      </w:r>
      <w:r w:rsidR="00432117">
        <w:t xml:space="preserve">simply </w:t>
      </w:r>
      <w:r>
        <w:t>fail to do so.</w:t>
      </w:r>
      <w:r w:rsidR="00432117">
        <w:t xml:space="preserve">  </w:t>
      </w:r>
      <w:r w:rsidR="007D7E9B">
        <w:t>Under those circumstances, t</w:t>
      </w:r>
      <w:r w:rsidR="00432117">
        <w:t xml:space="preserve">he </w:t>
      </w:r>
      <w:r w:rsidR="008847C9">
        <w:t xml:space="preserve">employer remains obligated to </w:t>
      </w:r>
      <w:r w:rsidR="00847DB7">
        <w:t xml:space="preserve">pay the tax to the IRS </w:t>
      </w:r>
      <w:r w:rsidR="00432117">
        <w:t xml:space="preserve">unless and until the employer can prove that </w:t>
      </w:r>
      <w:r w:rsidR="00847DB7">
        <w:t>it was paid by the employee</w:t>
      </w:r>
      <w:r w:rsidR="00432117">
        <w:t xml:space="preserve">.  However, </w:t>
      </w:r>
      <w:r w:rsidR="00D1161A">
        <w:t xml:space="preserve">even if the employee ultimately pays the tax, it does </w:t>
      </w:r>
      <w:r w:rsidR="00D3275F">
        <w:t xml:space="preserve">not relieve </w:t>
      </w:r>
      <w:r w:rsidR="00432117">
        <w:t xml:space="preserve">the employer </w:t>
      </w:r>
      <w:r w:rsidR="00D3275F">
        <w:t>o</w:t>
      </w:r>
      <w:r w:rsidR="007D7E9B">
        <w:t>f</w:t>
      </w:r>
      <w:r w:rsidR="00D3275F">
        <w:t xml:space="preserve"> its liability </w:t>
      </w:r>
      <w:r w:rsidR="00432117">
        <w:t>for any inter</w:t>
      </w:r>
      <w:r w:rsidR="005E0CD3">
        <w:t>est or penalties</w:t>
      </w:r>
      <w:r w:rsidR="00432117">
        <w:t xml:space="preserve"> assessed as a result of its failure to withhold</w:t>
      </w:r>
      <w:r w:rsidR="00D3275F">
        <w:t xml:space="preserve"> the additional Medicare tax</w:t>
      </w:r>
      <w:r w:rsidR="00432117">
        <w:t>.</w:t>
      </w:r>
      <w:r w:rsidR="00432117">
        <w:rPr>
          <w:rStyle w:val="FootnoteReference"/>
        </w:rPr>
        <w:footnoteReference w:id="3"/>
      </w:r>
    </w:p>
    <w:p w:rsidR="007059EF" w:rsidRPr="006C6863" w:rsidRDefault="007059EF" w:rsidP="007059EF">
      <w:pPr>
        <w:pStyle w:val="PA"/>
        <w:rPr>
          <w:b/>
        </w:rPr>
      </w:pPr>
      <w:r w:rsidRPr="007059EF">
        <w:rPr>
          <w:b/>
        </w:rPr>
        <w:t>8572.04 Can a taxpayer request additional withholding specifically earmarked to pay anticipated additional Medicare tax?</w:t>
      </w:r>
    </w:p>
    <w:p w:rsidR="007059EF" w:rsidRPr="007059EF" w:rsidRDefault="00D1161A" w:rsidP="007059EF">
      <w:pPr>
        <w:pStyle w:val="PA"/>
      </w:pPr>
      <w:r>
        <w:t xml:space="preserve">No, a taxpayer cannot </w:t>
      </w:r>
      <w:r w:rsidR="00847DB7">
        <w:t>make such a request.</w:t>
      </w:r>
      <w:r>
        <w:t xml:space="preserve">  However, the taxpayer may modify Form W-4 to request</w:t>
      </w:r>
      <w:r w:rsidR="005E0CD3">
        <w:t xml:space="preserve"> his or her employer to withhold</w:t>
      </w:r>
      <w:r>
        <w:t xml:space="preserve"> additional income tax.  </w:t>
      </w:r>
      <w:r w:rsidR="00847DB7">
        <w:t>Even though the additional amount withheld is technically regular income tax</w:t>
      </w:r>
      <w:r w:rsidR="007D7E9B">
        <w:t xml:space="preserve"> (not additional Medicare tax)</w:t>
      </w:r>
      <w:r w:rsidR="00847DB7">
        <w:t xml:space="preserve">, it is </w:t>
      </w:r>
      <w:r w:rsidR="007D7E9B">
        <w:t xml:space="preserve">nonetheless </w:t>
      </w:r>
      <w:r w:rsidR="005E0CD3">
        <w:lastRenderedPageBreak/>
        <w:t>credited as</w:t>
      </w:r>
      <w:r w:rsidR="00847DB7">
        <w:t xml:space="preserve"> a payment to be applied t</w:t>
      </w:r>
      <w:r>
        <w:t>o all Form 1040 tax liability owing including the additional Medicare tax.</w:t>
      </w:r>
      <w:r w:rsidR="007059EF" w:rsidRPr="007059EF">
        <w:rPr>
          <w:vertAlign w:val="superscript"/>
        </w:rPr>
        <w:footnoteReference w:id="4"/>
      </w:r>
    </w:p>
    <w:p w:rsidR="007059EF" w:rsidRPr="007059EF" w:rsidRDefault="007059EF" w:rsidP="007059EF">
      <w:pPr>
        <w:pStyle w:val="PA"/>
      </w:pPr>
    </w:p>
    <w:p w:rsidR="007059EF" w:rsidRPr="007059EF" w:rsidRDefault="007059EF" w:rsidP="007059EF">
      <w:pPr>
        <w:pStyle w:val="PA"/>
      </w:pPr>
      <w:r w:rsidRPr="007059EF">
        <w:rPr>
          <w:b/>
        </w:rPr>
        <w:t>8572.05 Can a taxpayer make estimated tax payments to cover the additional Medicare tax liability?</w:t>
      </w:r>
    </w:p>
    <w:p w:rsidR="007059EF" w:rsidRPr="007059EF" w:rsidRDefault="003F1B6F" w:rsidP="007059EF">
      <w:pPr>
        <w:pStyle w:val="PA"/>
      </w:pPr>
      <w:r>
        <w:t xml:space="preserve">Although the additional Medicare tax is </w:t>
      </w:r>
      <w:r w:rsidR="00843C60">
        <w:t xml:space="preserve">a </w:t>
      </w:r>
      <w:r>
        <w:t xml:space="preserve">separate </w:t>
      </w:r>
      <w:r w:rsidR="003F6175">
        <w:t>tax</w:t>
      </w:r>
      <w:r>
        <w:t xml:space="preserve">, the IRS considers it to be part of the taxpayer’s overall tax liability.  So, if the taxpayer’s withholdings are not sufficient to cover </w:t>
      </w:r>
      <w:r w:rsidR="003F6175">
        <w:t>the</w:t>
      </w:r>
      <w:r w:rsidR="00583E26">
        <w:t xml:space="preserve"> </w:t>
      </w:r>
      <w:r>
        <w:t xml:space="preserve">entire </w:t>
      </w:r>
      <w:r w:rsidR="00583E26">
        <w:t xml:space="preserve">tax </w:t>
      </w:r>
      <w:r>
        <w:t xml:space="preserve">liability, there may be a penalty imposed on the failure to make an estimated tax payment.  For that reason, it </w:t>
      </w:r>
      <w:r w:rsidR="00583E26">
        <w:t>may behoove</w:t>
      </w:r>
      <w:r>
        <w:t xml:space="preserve"> </w:t>
      </w:r>
      <w:r w:rsidR="007D7E9B">
        <w:t>a</w:t>
      </w:r>
      <w:r>
        <w:t xml:space="preserve"> taxpayer who does not increase t</w:t>
      </w:r>
      <w:r w:rsidR="003F6175">
        <w:t>he amount withheld by the</w:t>
      </w:r>
      <w:bookmarkStart w:id="0" w:name="_GoBack"/>
      <w:bookmarkEnd w:id="0"/>
      <w:r>
        <w:t xml:space="preserve"> employer to make estimated payments to cover any shortfall.</w:t>
      </w:r>
      <w:r w:rsidR="007059EF" w:rsidRPr="007059EF">
        <w:rPr>
          <w:vertAlign w:val="superscript"/>
        </w:rPr>
        <w:footnoteReference w:id="5"/>
      </w:r>
    </w:p>
    <w:p w:rsidR="007059EF" w:rsidRPr="006C6863" w:rsidRDefault="007059EF" w:rsidP="007059EF">
      <w:pPr>
        <w:pStyle w:val="PA"/>
        <w:rPr>
          <w:b/>
        </w:rPr>
      </w:pPr>
      <w:r w:rsidRPr="007059EF">
        <w:rPr>
          <w:b/>
        </w:rPr>
        <w:t xml:space="preserve">8572.06 How does a taxpayer calculate additional Medicare tax liability if </w:t>
      </w:r>
      <w:r w:rsidR="006C6863">
        <w:rPr>
          <w:b/>
        </w:rPr>
        <w:t>the taxpayer</w:t>
      </w:r>
      <w:r w:rsidRPr="007059EF">
        <w:rPr>
          <w:b/>
        </w:rPr>
        <w:t xml:space="preserve"> receives both </w:t>
      </w:r>
      <w:r w:rsidR="0019725B">
        <w:rPr>
          <w:b/>
        </w:rPr>
        <w:t xml:space="preserve">wage income </w:t>
      </w:r>
      <w:r w:rsidRPr="007059EF">
        <w:rPr>
          <w:b/>
        </w:rPr>
        <w:t>and self-employment income in the same tax year?</w:t>
      </w:r>
    </w:p>
    <w:p w:rsidR="007059EF" w:rsidRPr="007059EF" w:rsidRDefault="005E0CD3" w:rsidP="007059EF">
      <w:pPr>
        <w:pStyle w:val="PA"/>
      </w:pPr>
      <w:r>
        <w:t xml:space="preserve">The taxpayer’s combined wages and/or self-employment income is subject to the </w:t>
      </w:r>
      <w:r w:rsidR="00847DB7">
        <w:t>additional Medicare tax</w:t>
      </w:r>
      <w:r>
        <w:t>.</w:t>
      </w:r>
      <w:r w:rsidR="00847DB7">
        <w:t xml:space="preserve">  T</w:t>
      </w:r>
      <w:r>
        <w:t xml:space="preserve">his means the tax is imposed </w:t>
      </w:r>
      <w:r w:rsidR="00847DB7">
        <w:t>on the excess of the taxpayer’s en</w:t>
      </w:r>
      <w:r w:rsidR="00D31076">
        <w:t>tire amount of earned income</w:t>
      </w:r>
      <w:r w:rsidR="00847DB7">
        <w:t xml:space="preserve"> over the applicable threshold.  </w:t>
      </w:r>
      <w:r w:rsidR="007059EF" w:rsidRPr="007059EF">
        <w:t xml:space="preserve">The </w:t>
      </w:r>
      <w:r w:rsidR="0019725B">
        <w:t>following fact pattern demonstrate</w:t>
      </w:r>
      <w:r w:rsidR="0032660B">
        <w:t xml:space="preserve">s the </w:t>
      </w:r>
      <w:r w:rsidR="007059EF" w:rsidRPr="007059EF">
        <w:t>three-step procedure for calculating the tax owed:</w:t>
      </w:r>
    </w:p>
    <w:p w:rsidR="007059EF" w:rsidRPr="005E0CD3" w:rsidRDefault="00AC2611" w:rsidP="007059EF">
      <w:pPr>
        <w:pStyle w:val="PA"/>
        <w:rPr>
          <w:szCs w:val="24"/>
        </w:rPr>
      </w:pPr>
      <w:r w:rsidRPr="005E0CD3">
        <w:rPr>
          <w:i/>
          <w:szCs w:val="24"/>
        </w:rPr>
        <w:t>Example</w:t>
      </w:r>
      <w:r w:rsidRPr="005E0CD3">
        <w:rPr>
          <w:szCs w:val="24"/>
        </w:rPr>
        <w:t>: Sam is a single taxpayer with $130,000 in wages and $145,000 in self-employment income</w:t>
      </w:r>
      <w:r w:rsidR="00D31076">
        <w:rPr>
          <w:szCs w:val="24"/>
        </w:rPr>
        <w:t>, or total earned income of</w:t>
      </w:r>
      <w:r w:rsidR="00103C50" w:rsidRPr="005E0CD3">
        <w:rPr>
          <w:szCs w:val="24"/>
        </w:rPr>
        <w:t xml:space="preserve"> $275,000.</w:t>
      </w:r>
      <w:r w:rsidR="001037FC" w:rsidRPr="005E0CD3">
        <w:rPr>
          <w:szCs w:val="24"/>
        </w:rPr>
        <w:t xml:space="preserve">  The applicable threshold for a single taxpayer is $200,000.</w:t>
      </w:r>
    </w:p>
    <w:p w:rsidR="007059EF" w:rsidRDefault="001037FC" w:rsidP="007D7E9B">
      <w:pPr>
        <w:pStyle w:val="PA"/>
        <w:ind w:firstLine="0"/>
      </w:pPr>
      <w:r>
        <w:t xml:space="preserve">   Step 1 - </w:t>
      </w:r>
      <w:r w:rsidR="007059EF" w:rsidRPr="007059EF">
        <w:t xml:space="preserve">Calculate additional Medicare tax </w:t>
      </w:r>
      <w:r>
        <w:t>o</w:t>
      </w:r>
      <w:r w:rsidR="007059EF" w:rsidRPr="007059EF">
        <w:t xml:space="preserve">n wages in excess of the </w:t>
      </w:r>
      <w:r w:rsidR="00103C50">
        <w:t xml:space="preserve">applicable </w:t>
      </w:r>
      <w:r w:rsidR="007059EF" w:rsidRPr="007059EF">
        <w:t>threshold;</w:t>
      </w:r>
    </w:p>
    <w:p w:rsidR="00D31076" w:rsidRDefault="00D31076" w:rsidP="007D7E9B">
      <w:pPr>
        <w:ind w:firstLine="333"/>
        <w:jc w:val="both"/>
        <w:rPr>
          <w:sz w:val="24"/>
          <w:szCs w:val="24"/>
        </w:rPr>
      </w:pPr>
      <w:r>
        <w:rPr>
          <w:sz w:val="24"/>
          <w:szCs w:val="24"/>
        </w:rPr>
        <w:t>As mentioned above, t</w:t>
      </w:r>
      <w:r w:rsidR="00AC2611">
        <w:rPr>
          <w:sz w:val="24"/>
          <w:szCs w:val="24"/>
        </w:rPr>
        <w:t xml:space="preserve">he applicable threshold for a single taxpayer is $200,000.  However, since Sam’s wages of $130,000 do not exceed the </w:t>
      </w:r>
      <w:r w:rsidR="00583E26">
        <w:rPr>
          <w:sz w:val="24"/>
          <w:szCs w:val="24"/>
        </w:rPr>
        <w:t xml:space="preserve">applicable </w:t>
      </w:r>
      <w:r w:rsidR="00AC2611">
        <w:rPr>
          <w:sz w:val="24"/>
          <w:szCs w:val="24"/>
        </w:rPr>
        <w:t>threshold, there is no additional Medicare tax on his wages.</w:t>
      </w:r>
    </w:p>
    <w:p w:rsidR="007059EF" w:rsidRPr="007059EF" w:rsidRDefault="007059EF" w:rsidP="007D7E9B">
      <w:pPr>
        <w:ind w:firstLine="333"/>
        <w:jc w:val="both"/>
      </w:pPr>
    </w:p>
    <w:p w:rsidR="007059EF" w:rsidRDefault="001037FC" w:rsidP="007D7E9B">
      <w:pPr>
        <w:pStyle w:val="PA"/>
        <w:ind w:firstLine="0"/>
      </w:pPr>
      <w:r>
        <w:t xml:space="preserve">    Step 2 - </w:t>
      </w:r>
      <w:r w:rsidR="007059EF" w:rsidRPr="007059EF">
        <w:t xml:space="preserve">Reduce the </w:t>
      </w:r>
      <w:r w:rsidR="00103C50">
        <w:t xml:space="preserve">applicable </w:t>
      </w:r>
      <w:r w:rsidR="007059EF" w:rsidRPr="007059EF">
        <w:t>threshold by the total amount of wages, but not below zero;</w:t>
      </w:r>
    </w:p>
    <w:p w:rsidR="001037FC" w:rsidRDefault="00AC2611" w:rsidP="007D7E9B">
      <w:pPr>
        <w:ind w:firstLine="270"/>
        <w:jc w:val="both"/>
        <w:rPr>
          <w:sz w:val="24"/>
          <w:szCs w:val="24"/>
        </w:rPr>
      </w:pPr>
      <w:r>
        <w:rPr>
          <w:sz w:val="24"/>
          <w:szCs w:val="24"/>
        </w:rPr>
        <w:t>In this case, the applicable threshold of $200,000 minus Sam’s $130,000 of wages equals a reduced threshold of $70,000.</w:t>
      </w:r>
    </w:p>
    <w:p w:rsidR="007059EF" w:rsidRPr="007059EF" w:rsidRDefault="007059EF" w:rsidP="007D7E9B">
      <w:pPr>
        <w:ind w:firstLine="270"/>
        <w:jc w:val="both"/>
      </w:pPr>
    </w:p>
    <w:p w:rsidR="007059EF" w:rsidRDefault="001037FC" w:rsidP="007D7E9B">
      <w:pPr>
        <w:pStyle w:val="PA"/>
      </w:pPr>
      <w:r>
        <w:t xml:space="preserve">Step 3 - </w:t>
      </w:r>
      <w:r w:rsidR="007059EF" w:rsidRPr="007059EF">
        <w:t>Calculate the additional Medicare tax on any self-employment income received in excess of the reduced threshold.</w:t>
      </w:r>
    </w:p>
    <w:p w:rsidR="00A804B9" w:rsidRDefault="001037FC" w:rsidP="007D7E9B">
      <w:pPr>
        <w:ind w:left="288"/>
        <w:jc w:val="both"/>
        <w:rPr>
          <w:szCs w:val="24"/>
        </w:rPr>
      </w:pPr>
      <w:r>
        <w:rPr>
          <w:sz w:val="24"/>
          <w:szCs w:val="24"/>
        </w:rPr>
        <w:t xml:space="preserve">   In</w:t>
      </w:r>
      <w:r w:rsidR="00103C50">
        <w:rPr>
          <w:sz w:val="24"/>
          <w:szCs w:val="24"/>
        </w:rPr>
        <w:t xml:space="preserve"> </w:t>
      </w:r>
      <w:r>
        <w:rPr>
          <w:sz w:val="24"/>
          <w:szCs w:val="24"/>
        </w:rPr>
        <w:t>Step 1</w:t>
      </w:r>
      <w:r w:rsidR="00103C50">
        <w:rPr>
          <w:sz w:val="24"/>
          <w:szCs w:val="24"/>
        </w:rPr>
        <w:t xml:space="preserve">, </w:t>
      </w:r>
      <w:r w:rsidR="00AC2611">
        <w:rPr>
          <w:sz w:val="24"/>
          <w:szCs w:val="24"/>
        </w:rPr>
        <w:t xml:space="preserve">$130,000 of the applicable threshold </w:t>
      </w:r>
      <w:r w:rsidR="00103C50">
        <w:rPr>
          <w:sz w:val="24"/>
          <w:szCs w:val="24"/>
        </w:rPr>
        <w:t xml:space="preserve">is </w:t>
      </w:r>
      <w:r w:rsidR="00AC2611">
        <w:rPr>
          <w:sz w:val="24"/>
          <w:szCs w:val="24"/>
        </w:rPr>
        <w:t>absorbed by Sam’s wages.</w:t>
      </w:r>
      <w:r w:rsidR="00103C50">
        <w:rPr>
          <w:sz w:val="24"/>
          <w:szCs w:val="24"/>
        </w:rPr>
        <w:t xml:space="preserve">  </w:t>
      </w:r>
      <w:r>
        <w:rPr>
          <w:sz w:val="24"/>
          <w:szCs w:val="24"/>
        </w:rPr>
        <w:t xml:space="preserve">Then, in Step 2, </w:t>
      </w:r>
      <w:r w:rsidR="00103C50">
        <w:rPr>
          <w:sz w:val="24"/>
          <w:szCs w:val="24"/>
        </w:rPr>
        <w:t xml:space="preserve">the applicable threshold </w:t>
      </w:r>
      <w:r>
        <w:rPr>
          <w:sz w:val="24"/>
          <w:szCs w:val="24"/>
        </w:rPr>
        <w:t xml:space="preserve">minus Sam’s wages </w:t>
      </w:r>
      <w:r w:rsidR="00103C50">
        <w:rPr>
          <w:sz w:val="24"/>
          <w:szCs w:val="24"/>
        </w:rPr>
        <w:t xml:space="preserve">is reduced to $70,000.  </w:t>
      </w:r>
      <w:r w:rsidR="00583E26">
        <w:rPr>
          <w:sz w:val="24"/>
          <w:szCs w:val="24"/>
        </w:rPr>
        <w:t>Finally, i</w:t>
      </w:r>
      <w:r w:rsidR="00103C50">
        <w:rPr>
          <w:sz w:val="24"/>
          <w:szCs w:val="24"/>
        </w:rPr>
        <w:t xml:space="preserve">n </w:t>
      </w:r>
      <w:r>
        <w:rPr>
          <w:sz w:val="24"/>
          <w:szCs w:val="24"/>
        </w:rPr>
        <w:t xml:space="preserve">Step 3, </w:t>
      </w:r>
      <w:r w:rsidR="00103C50">
        <w:rPr>
          <w:sz w:val="24"/>
          <w:szCs w:val="24"/>
        </w:rPr>
        <w:t xml:space="preserve">Sam’s self-employment income of $145,000 </w:t>
      </w:r>
      <w:r w:rsidR="00583E26">
        <w:rPr>
          <w:sz w:val="24"/>
          <w:szCs w:val="24"/>
        </w:rPr>
        <w:t xml:space="preserve">exceeds </w:t>
      </w:r>
      <w:r w:rsidR="00103C50">
        <w:rPr>
          <w:sz w:val="24"/>
          <w:szCs w:val="24"/>
        </w:rPr>
        <w:t xml:space="preserve">the reduced threshold of $70,000 </w:t>
      </w:r>
      <w:r w:rsidR="00583E26">
        <w:rPr>
          <w:sz w:val="24"/>
          <w:szCs w:val="24"/>
        </w:rPr>
        <w:t xml:space="preserve">by </w:t>
      </w:r>
      <w:r w:rsidR="00103C50">
        <w:rPr>
          <w:sz w:val="24"/>
          <w:szCs w:val="24"/>
        </w:rPr>
        <w:t>$75,000, the amount of Sam’s self-employment income subject to the additional Medicare tax.  The actual tax is $675</w:t>
      </w:r>
      <w:r>
        <w:rPr>
          <w:sz w:val="24"/>
          <w:szCs w:val="24"/>
        </w:rPr>
        <w:t xml:space="preserve"> (</w:t>
      </w:r>
      <w:r w:rsidR="00103C50">
        <w:rPr>
          <w:sz w:val="24"/>
          <w:szCs w:val="24"/>
        </w:rPr>
        <w:t xml:space="preserve">0.9% </w:t>
      </w:r>
      <w:r w:rsidR="00583E26">
        <w:rPr>
          <w:sz w:val="24"/>
          <w:szCs w:val="24"/>
        </w:rPr>
        <w:t>*</w:t>
      </w:r>
      <w:r w:rsidR="00103C50">
        <w:rPr>
          <w:sz w:val="24"/>
          <w:szCs w:val="24"/>
        </w:rPr>
        <w:t xml:space="preserve"> $75,000</w:t>
      </w:r>
      <w:r>
        <w:rPr>
          <w:sz w:val="24"/>
          <w:szCs w:val="24"/>
        </w:rPr>
        <w:t>)</w:t>
      </w:r>
      <w:r w:rsidR="00103C50">
        <w:rPr>
          <w:sz w:val="24"/>
          <w:szCs w:val="24"/>
        </w:rPr>
        <w:t>.</w:t>
      </w:r>
      <w:r w:rsidR="00103C50" w:rsidRPr="007D7E9B" w:rsidDel="00103C50">
        <w:rPr>
          <w:szCs w:val="24"/>
        </w:rPr>
        <w:t xml:space="preserve"> </w:t>
      </w:r>
    </w:p>
    <w:p w:rsidR="00D31076" w:rsidRDefault="00D31076" w:rsidP="007D7E9B">
      <w:pPr>
        <w:ind w:left="288"/>
        <w:jc w:val="both"/>
        <w:rPr>
          <w:szCs w:val="24"/>
        </w:rPr>
      </w:pPr>
    </w:p>
    <w:p w:rsidR="00D31076" w:rsidRPr="00A804B9" w:rsidRDefault="00D31076" w:rsidP="00D31076">
      <w:pPr>
        <w:jc w:val="both"/>
        <w:rPr>
          <w:b/>
        </w:rPr>
      </w:pPr>
    </w:p>
    <w:p w:rsidR="00B611F0" w:rsidRPr="00B611F0" w:rsidRDefault="00B611F0" w:rsidP="00B611F0"/>
    <w:sectPr w:rsidR="00B611F0" w:rsidRPr="00B611F0" w:rsidSect="00271A21">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041" w:rsidRDefault="00424041" w:rsidP="00536B05">
      <w:r>
        <w:separator/>
      </w:r>
    </w:p>
  </w:endnote>
  <w:endnote w:type="continuationSeparator" w:id="0">
    <w:p w:rsidR="00424041" w:rsidRDefault="00424041" w:rsidP="0053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Helvetica LT Std">
    <w:altName w:val="Cambria"/>
    <w:panose1 w:val="00000000000000000000"/>
    <w:charset w:val="00"/>
    <w:family w:val="swiss"/>
    <w:notTrueType/>
    <w:pitch w:val="variable"/>
    <w:sig w:usb0="800002AF" w:usb1="5000204A" w:usb2="00000000" w:usb3="00000000" w:csb0="00000005"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041" w:rsidRDefault="00424041" w:rsidP="00536B05">
      <w:r>
        <w:separator/>
      </w:r>
    </w:p>
  </w:footnote>
  <w:footnote w:type="continuationSeparator" w:id="0">
    <w:p w:rsidR="00424041" w:rsidRDefault="00424041" w:rsidP="00536B05">
      <w:r>
        <w:continuationSeparator/>
      </w:r>
    </w:p>
  </w:footnote>
  <w:footnote w:id="1">
    <w:p w:rsidR="00A804B9" w:rsidRPr="00B611F0" w:rsidRDefault="00A804B9" w:rsidP="00EE7BE5">
      <w:pPr>
        <w:pStyle w:val="PQ"/>
      </w:pPr>
      <w:r w:rsidRPr="00B611F0">
        <w:rPr>
          <w:rStyle w:val="FootnoteReference"/>
          <w:vertAlign w:val="baseline"/>
        </w:rPr>
        <w:footnoteRef/>
      </w:r>
      <w:r w:rsidR="001D533C">
        <w:t>.</w:t>
      </w:r>
      <w:r w:rsidR="001D533C">
        <w:tab/>
      </w:r>
      <w:r w:rsidR="00EE7BE5" w:rsidRPr="00B611F0">
        <w:t xml:space="preserve">IRS FAQ, </w:t>
      </w:r>
      <w:r w:rsidR="00EE7BE5" w:rsidRPr="00B611F0">
        <w:rPr>
          <w:i/>
        </w:rPr>
        <w:t>Questions and Answers for the Additional Medicare Tax</w:t>
      </w:r>
      <w:r w:rsidR="00EE7BE5" w:rsidRPr="00B611F0">
        <w:t xml:space="preserve">, available at </w:t>
      </w:r>
      <w:r w:rsidR="00EE7BE5" w:rsidRPr="00A02913">
        <w:t>http://www.irs.gov/Businesses/Small-Businesses-&amp;-Self-Employed/Questions-and-Answers-for-the-Additional-Medicare-Tax</w:t>
      </w:r>
      <w:r w:rsidR="00EE7BE5" w:rsidRPr="00B611F0">
        <w:t xml:space="preserve"> (last accessed </w:t>
      </w:r>
      <w:r w:rsidR="00AD71C9">
        <w:t>April 14, 2014</w:t>
      </w:r>
      <w:r w:rsidR="00EE7BE5" w:rsidRPr="00B611F0">
        <w:t>)</w:t>
      </w:r>
      <w:r w:rsidR="00D307E4">
        <w:t xml:space="preserve">; </w:t>
      </w:r>
      <w:r w:rsidR="00D307E4" w:rsidRPr="0046769D">
        <w:rPr>
          <w:rFonts w:ascii="Perpetua" w:hAnsi="Perpetua"/>
          <w:sz w:val="16"/>
          <w:szCs w:val="16"/>
        </w:rPr>
        <w:t xml:space="preserve">Treas. Reg. </w:t>
      </w:r>
      <w:r w:rsidR="00D307E4" w:rsidRPr="00744BF8">
        <w:rPr>
          <w:rFonts w:ascii="Perpetua" w:hAnsi="Perpetua"/>
          <w:sz w:val="16"/>
          <w:szCs w:val="16"/>
        </w:rPr>
        <w:t>§</w:t>
      </w:r>
      <w:r w:rsidR="00D307E4">
        <w:rPr>
          <w:rFonts w:ascii="Perpetua" w:hAnsi="Perpetua"/>
          <w:sz w:val="16"/>
          <w:szCs w:val="16"/>
        </w:rPr>
        <w:t>31.3102-4(a)</w:t>
      </w:r>
      <w:r w:rsidR="00D307E4" w:rsidRPr="0046769D">
        <w:rPr>
          <w:rFonts w:ascii="Perpetua" w:hAnsi="Perpetua"/>
          <w:sz w:val="16"/>
          <w:szCs w:val="16"/>
        </w:rPr>
        <w:t>.</w:t>
      </w:r>
    </w:p>
  </w:footnote>
  <w:footnote w:id="2">
    <w:p w:rsidR="00574D0E" w:rsidRDefault="00574D0E">
      <w:pPr>
        <w:pStyle w:val="FootnoteText"/>
      </w:pPr>
      <w:r>
        <w:rPr>
          <w:rStyle w:val="FootnoteReference"/>
        </w:rPr>
        <w:footnoteRef/>
      </w:r>
      <w:r>
        <w:t xml:space="preserve"> </w:t>
      </w:r>
      <w:r w:rsidRPr="0046769D">
        <w:rPr>
          <w:rFonts w:ascii="Perpetua" w:hAnsi="Perpetua"/>
          <w:sz w:val="16"/>
          <w:szCs w:val="16"/>
        </w:rPr>
        <w:t xml:space="preserve">Treas. Reg. </w:t>
      </w:r>
      <w:r w:rsidRPr="00744BF8">
        <w:rPr>
          <w:rFonts w:ascii="Perpetua" w:hAnsi="Perpetua"/>
          <w:color w:val="000000"/>
          <w:sz w:val="16"/>
          <w:szCs w:val="16"/>
        </w:rPr>
        <w:t>§</w:t>
      </w:r>
      <w:r w:rsidRPr="0046769D">
        <w:rPr>
          <w:rFonts w:ascii="Perpetua" w:hAnsi="Perpetua"/>
          <w:sz w:val="16"/>
          <w:szCs w:val="16"/>
        </w:rPr>
        <w:t>31.</w:t>
      </w:r>
      <w:r>
        <w:rPr>
          <w:rFonts w:ascii="Perpetua" w:hAnsi="Perpetua"/>
          <w:sz w:val="16"/>
          <w:szCs w:val="16"/>
        </w:rPr>
        <w:t>3102-4(b), Example J</w:t>
      </w:r>
      <w:r w:rsidRPr="0046769D">
        <w:rPr>
          <w:rFonts w:ascii="Perpetua" w:hAnsi="Perpetua"/>
          <w:sz w:val="16"/>
          <w:szCs w:val="16"/>
        </w:rPr>
        <w:t>.</w:t>
      </w:r>
    </w:p>
  </w:footnote>
  <w:footnote w:id="3">
    <w:p w:rsidR="00432117" w:rsidRDefault="00432117">
      <w:pPr>
        <w:pStyle w:val="FootnoteText"/>
      </w:pPr>
      <w:r>
        <w:rPr>
          <w:rStyle w:val="FootnoteReference"/>
        </w:rPr>
        <w:footnoteRef/>
      </w:r>
      <w:r>
        <w:t xml:space="preserve"> </w:t>
      </w:r>
      <w:r w:rsidRPr="0046769D">
        <w:rPr>
          <w:rFonts w:ascii="Perpetua" w:hAnsi="Perpetua"/>
          <w:sz w:val="16"/>
          <w:szCs w:val="16"/>
        </w:rPr>
        <w:t xml:space="preserve">Treas. Reg. </w:t>
      </w:r>
      <w:r w:rsidRPr="00744BF8">
        <w:rPr>
          <w:rFonts w:ascii="Perpetua" w:hAnsi="Perpetua"/>
          <w:color w:val="000000"/>
          <w:sz w:val="16"/>
          <w:szCs w:val="16"/>
        </w:rPr>
        <w:t>§</w:t>
      </w:r>
      <w:r>
        <w:rPr>
          <w:rFonts w:ascii="Perpetua" w:hAnsi="Perpetua"/>
          <w:sz w:val="16"/>
          <w:szCs w:val="16"/>
        </w:rPr>
        <w:t>31.3102.4(c).</w:t>
      </w:r>
    </w:p>
  </w:footnote>
  <w:footnote w:id="4">
    <w:p w:rsidR="007059EF" w:rsidRPr="00BC7280" w:rsidRDefault="007059EF" w:rsidP="007059EF">
      <w:pPr>
        <w:pStyle w:val="FootnoteText"/>
        <w:rPr>
          <w:rFonts w:ascii="Perpetua" w:hAnsi="Perpetua"/>
          <w:sz w:val="16"/>
          <w:szCs w:val="16"/>
        </w:rPr>
      </w:pPr>
      <w:r w:rsidRPr="00BC7280">
        <w:rPr>
          <w:rStyle w:val="FootnoteReference"/>
          <w:rFonts w:ascii="Perpetua" w:hAnsi="Perpetua"/>
          <w:sz w:val="16"/>
          <w:szCs w:val="16"/>
        </w:rPr>
        <w:footnoteRef/>
      </w:r>
      <w:r w:rsidRPr="00BC7280">
        <w:rPr>
          <w:rFonts w:ascii="Perpetua" w:hAnsi="Perpetua"/>
          <w:sz w:val="16"/>
          <w:szCs w:val="16"/>
        </w:rPr>
        <w:t xml:space="preserve"> See IRS Q&amp;A on the Additional Medicare Tax, available at: </w:t>
      </w:r>
      <w:hyperlink r:id="rId1" w:history="1">
        <w:r w:rsidRPr="00BC7280">
          <w:rPr>
            <w:rStyle w:val="Hyperlink"/>
            <w:rFonts w:ascii="Perpetua" w:hAnsi="Perpetua"/>
            <w:sz w:val="16"/>
            <w:szCs w:val="16"/>
          </w:rPr>
          <w:t>http://www.irs.gov/Businesses/Small-Businesses-&amp;-Self-Employed/Questions-and-Answers-for-the-Additional-Medicare-Tax</w:t>
        </w:r>
      </w:hyperlink>
      <w:r w:rsidRPr="00BC7280">
        <w:rPr>
          <w:rFonts w:ascii="Perpetua" w:hAnsi="Perpetua"/>
          <w:sz w:val="16"/>
          <w:szCs w:val="16"/>
        </w:rPr>
        <w:t xml:space="preserve"> (last accessed April 25, 2014).</w:t>
      </w:r>
    </w:p>
  </w:footnote>
  <w:footnote w:id="5">
    <w:p w:rsidR="007059EF" w:rsidRDefault="007059EF" w:rsidP="007059EF">
      <w:pPr>
        <w:pStyle w:val="FootnoteText"/>
      </w:pPr>
      <w:r w:rsidRPr="00BC7280">
        <w:rPr>
          <w:rStyle w:val="FootnoteReference"/>
          <w:rFonts w:ascii="Perpetua" w:hAnsi="Perpetua"/>
          <w:sz w:val="16"/>
          <w:szCs w:val="16"/>
        </w:rPr>
        <w:footnoteRef/>
      </w:r>
      <w:r w:rsidRPr="00BC7280">
        <w:rPr>
          <w:rFonts w:ascii="Perpetua" w:hAnsi="Perpetua"/>
          <w:sz w:val="16"/>
          <w:szCs w:val="16"/>
        </w:rPr>
        <w:t xml:space="preserve"> See IRS Q&amp;A on the Additional Medicare Tax, available at: </w:t>
      </w:r>
      <w:hyperlink r:id="rId2" w:history="1">
        <w:r w:rsidRPr="00BC7280">
          <w:rPr>
            <w:rStyle w:val="Hyperlink"/>
            <w:rFonts w:ascii="Perpetua" w:hAnsi="Perpetua"/>
            <w:sz w:val="16"/>
            <w:szCs w:val="16"/>
          </w:rPr>
          <w:t>http://www.irs.gov/Businesses/Small-Businesses-&amp;-Self-Employed/Questions-and-Answers-for-the-Additional-Medicare-Tax</w:t>
        </w:r>
      </w:hyperlink>
      <w:r w:rsidRPr="00BC7280">
        <w:rPr>
          <w:rFonts w:ascii="Perpetua" w:hAnsi="Perpetua"/>
          <w:sz w:val="16"/>
          <w:szCs w:val="16"/>
        </w:rPr>
        <w:t xml:space="preserve"> (last accessed April 25,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BB42CE"/>
    <w:multiLevelType w:val="hybridMultilevel"/>
    <w:tmpl w:val="BF06F940"/>
    <w:lvl w:ilvl="0" w:tplc="60ECB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AB76D9"/>
    <w:multiLevelType w:val="hybridMultilevel"/>
    <w:tmpl w:val="45F2C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E0CC4"/>
    <w:multiLevelType w:val="hybridMultilevel"/>
    <w:tmpl w:val="B5FE802C"/>
    <w:lvl w:ilvl="0" w:tplc="1D1875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A1E40"/>
    <w:multiLevelType w:val="hybridMultilevel"/>
    <w:tmpl w:val="55FC3E76"/>
    <w:lvl w:ilvl="0" w:tplc="FAFC3916">
      <w:start w:val="1"/>
      <w:numFmt w:val="decimal"/>
      <w:lvlText w:val="(%1)"/>
      <w:lvlJc w:val="left"/>
      <w:pPr>
        <w:ind w:left="1040" w:hanging="6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8">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9">
    <w:nsid w:val="3BC110BE"/>
    <w:multiLevelType w:val="hybridMultilevel"/>
    <w:tmpl w:val="9AE02338"/>
    <w:lvl w:ilvl="0" w:tplc="A9B40AD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084466"/>
    <w:multiLevelType w:val="hybridMultilevel"/>
    <w:tmpl w:val="20E2C94C"/>
    <w:lvl w:ilvl="0" w:tplc="1C4AC2D0">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1B2CBE"/>
    <w:multiLevelType w:val="singleLevel"/>
    <w:tmpl w:val="0409000F"/>
    <w:lvl w:ilvl="0">
      <w:start w:val="1"/>
      <w:numFmt w:val="decimal"/>
      <w:lvlText w:val="%1."/>
      <w:lvlJc w:val="left"/>
      <w:pPr>
        <w:tabs>
          <w:tab w:val="num" w:pos="360"/>
        </w:tabs>
        <w:ind w:left="360" w:hanging="360"/>
      </w:pPr>
    </w:lvl>
  </w:abstractNum>
  <w:abstractNum w:abstractNumId="13">
    <w:nsid w:val="597F1EEF"/>
    <w:multiLevelType w:val="hybridMultilevel"/>
    <w:tmpl w:val="AE080146"/>
    <w:lvl w:ilvl="0" w:tplc="D3725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5592209"/>
    <w:multiLevelType w:val="hybridMultilevel"/>
    <w:tmpl w:val="601CAE42"/>
    <w:lvl w:ilvl="0" w:tplc="E9261C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1"/>
  </w:num>
  <w:num w:numId="2">
    <w:abstractNumId w:val="16"/>
  </w:num>
  <w:num w:numId="3">
    <w:abstractNumId w:val="5"/>
  </w:num>
  <w:num w:numId="4">
    <w:abstractNumId w:val="9"/>
  </w:num>
  <w:num w:numId="5">
    <w:abstractNumId w:val="13"/>
  </w:num>
  <w:num w:numId="6">
    <w:abstractNumId w:val="3"/>
  </w:num>
  <w:num w:numId="7">
    <w:abstractNumId w:val="14"/>
  </w:num>
  <w:num w:numId="8">
    <w:abstractNumId w:val="0"/>
  </w:num>
  <w:num w:numId="9">
    <w:abstractNumId w:val="8"/>
  </w:num>
  <w:num w:numId="10">
    <w:abstractNumId w:val="18"/>
  </w:num>
  <w:num w:numId="11">
    <w:abstractNumId w:val="7"/>
  </w:num>
  <w:num w:numId="12">
    <w:abstractNumId w:val="12"/>
  </w:num>
  <w:num w:numId="13">
    <w:abstractNumId w:val="1"/>
  </w:num>
  <w:num w:numId="14">
    <w:abstractNumId w:val="2"/>
  </w:num>
  <w:num w:numId="15">
    <w:abstractNumId w:val="15"/>
  </w:num>
  <w:num w:numId="16">
    <w:abstractNumId w:val="17"/>
  </w:num>
  <w:num w:numId="17">
    <w:abstractNumId w:val="10"/>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ED"/>
    <w:rsid w:val="00012B2A"/>
    <w:rsid w:val="00012D94"/>
    <w:rsid w:val="00025E46"/>
    <w:rsid w:val="0003025A"/>
    <w:rsid w:val="00037BCF"/>
    <w:rsid w:val="00060618"/>
    <w:rsid w:val="00065361"/>
    <w:rsid w:val="00094E50"/>
    <w:rsid w:val="000A37F8"/>
    <w:rsid w:val="000C1C63"/>
    <w:rsid w:val="000D179D"/>
    <w:rsid w:val="000D7E02"/>
    <w:rsid w:val="000E27CC"/>
    <w:rsid w:val="00100BAD"/>
    <w:rsid w:val="001037FC"/>
    <w:rsid w:val="00103C50"/>
    <w:rsid w:val="001065DC"/>
    <w:rsid w:val="00114A17"/>
    <w:rsid w:val="00114F7E"/>
    <w:rsid w:val="0011643A"/>
    <w:rsid w:val="00133EA9"/>
    <w:rsid w:val="00165EB2"/>
    <w:rsid w:val="00166A3D"/>
    <w:rsid w:val="001850D3"/>
    <w:rsid w:val="0019725B"/>
    <w:rsid w:val="001A5CC6"/>
    <w:rsid w:val="001C2D8B"/>
    <w:rsid w:val="001D533C"/>
    <w:rsid w:val="001E59F3"/>
    <w:rsid w:val="001F52F4"/>
    <w:rsid w:val="00236EBA"/>
    <w:rsid w:val="00257104"/>
    <w:rsid w:val="00267E98"/>
    <w:rsid w:val="00271A21"/>
    <w:rsid w:val="00282D04"/>
    <w:rsid w:val="0028552C"/>
    <w:rsid w:val="00296983"/>
    <w:rsid w:val="002B3FE0"/>
    <w:rsid w:val="002C7FE6"/>
    <w:rsid w:val="00307615"/>
    <w:rsid w:val="003136E3"/>
    <w:rsid w:val="00317415"/>
    <w:rsid w:val="0032660B"/>
    <w:rsid w:val="00365BC3"/>
    <w:rsid w:val="003F1B6F"/>
    <w:rsid w:val="003F5AA4"/>
    <w:rsid w:val="003F6175"/>
    <w:rsid w:val="00424041"/>
    <w:rsid w:val="00424FBB"/>
    <w:rsid w:val="00432117"/>
    <w:rsid w:val="00437CBE"/>
    <w:rsid w:val="00455D1D"/>
    <w:rsid w:val="00463C0F"/>
    <w:rsid w:val="004903C8"/>
    <w:rsid w:val="004A38D0"/>
    <w:rsid w:val="004A4C0D"/>
    <w:rsid w:val="004A7339"/>
    <w:rsid w:val="004B1350"/>
    <w:rsid w:val="004F1F2A"/>
    <w:rsid w:val="004F6C3F"/>
    <w:rsid w:val="00516BDA"/>
    <w:rsid w:val="00536354"/>
    <w:rsid w:val="00536B05"/>
    <w:rsid w:val="0055218C"/>
    <w:rsid w:val="0055609B"/>
    <w:rsid w:val="00563159"/>
    <w:rsid w:val="00574D0E"/>
    <w:rsid w:val="005828EC"/>
    <w:rsid w:val="00583E26"/>
    <w:rsid w:val="0059765D"/>
    <w:rsid w:val="005A3335"/>
    <w:rsid w:val="005C50ED"/>
    <w:rsid w:val="005E0CD3"/>
    <w:rsid w:val="005E52AD"/>
    <w:rsid w:val="005F747A"/>
    <w:rsid w:val="005F7C9B"/>
    <w:rsid w:val="00623E77"/>
    <w:rsid w:val="00645DEC"/>
    <w:rsid w:val="006656BE"/>
    <w:rsid w:val="006A2941"/>
    <w:rsid w:val="006B29BA"/>
    <w:rsid w:val="006C0901"/>
    <w:rsid w:val="006C6863"/>
    <w:rsid w:val="006E5C0B"/>
    <w:rsid w:val="006F4200"/>
    <w:rsid w:val="006F4885"/>
    <w:rsid w:val="007059EF"/>
    <w:rsid w:val="00746177"/>
    <w:rsid w:val="00760B46"/>
    <w:rsid w:val="00777AF6"/>
    <w:rsid w:val="007948D7"/>
    <w:rsid w:val="007B0BC4"/>
    <w:rsid w:val="007C1E0C"/>
    <w:rsid w:val="007C6582"/>
    <w:rsid w:val="007D73C8"/>
    <w:rsid w:val="007D7788"/>
    <w:rsid w:val="007D7E9B"/>
    <w:rsid w:val="007F000B"/>
    <w:rsid w:val="00801263"/>
    <w:rsid w:val="00843C60"/>
    <w:rsid w:val="00847DB7"/>
    <w:rsid w:val="00853ACB"/>
    <w:rsid w:val="00856358"/>
    <w:rsid w:val="008847C9"/>
    <w:rsid w:val="008B16D5"/>
    <w:rsid w:val="008B183A"/>
    <w:rsid w:val="008F4A6A"/>
    <w:rsid w:val="00917D5C"/>
    <w:rsid w:val="0093676A"/>
    <w:rsid w:val="00972F5A"/>
    <w:rsid w:val="00994A42"/>
    <w:rsid w:val="009B2364"/>
    <w:rsid w:val="009D0FB6"/>
    <w:rsid w:val="00A02913"/>
    <w:rsid w:val="00A02AF1"/>
    <w:rsid w:val="00A06D94"/>
    <w:rsid w:val="00A11F83"/>
    <w:rsid w:val="00A153DC"/>
    <w:rsid w:val="00A22ABD"/>
    <w:rsid w:val="00A43D8E"/>
    <w:rsid w:val="00A54895"/>
    <w:rsid w:val="00A56136"/>
    <w:rsid w:val="00A804B9"/>
    <w:rsid w:val="00A922D5"/>
    <w:rsid w:val="00A94D09"/>
    <w:rsid w:val="00AA0396"/>
    <w:rsid w:val="00AC2611"/>
    <w:rsid w:val="00AD71C9"/>
    <w:rsid w:val="00B061CB"/>
    <w:rsid w:val="00B611F0"/>
    <w:rsid w:val="00B952C4"/>
    <w:rsid w:val="00BA5395"/>
    <w:rsid w:val="00BA72A3"/>
    <w:rsid w:val="00BE5482"/>
    <w:rsid w:val="00BF3132"/>
    <w:rsid w:val="00C00ED3"/>
    <w:rsid w:val="00C107DC"/>
    <w:rsid w:val="00C608C7"/>
    <w:rsid w:val="00C7171A"/>
    <w:rsid w:val="00C945AB"/>
    <w:rsid w:val="00CB5DE6"/>
    <w:rsid w:val="00CC13C2"/>
    <w:rsid w:val="00D0255A"/>
    <w:rsid w:val="00D1161A"/>
    <w:rsid w:val="00D279A1"/>
    <w:rsid w:val="00D307E4"/>
    <w:rsid w:val="00D31076"/>
    <w:rsid w:val="00D3275F"/>
    <w:rsid w:val="00D34A75"/>
    <w:rsid w:val="00D63101"/>
    <w:rsid w:val="00D655FB"/>
    <w:rsid w:val="00D81626"/>
    <w:rsid w:val="00D97308"/>
    <w:rsid w:val="00DB3829"/>
    <w:rsid w:val="00DD2422"/>
    <w:rsid w:val="00DD3CD4"/>
    <w:rsid w:val="00DF18F4"/>
    <w:rsid w:val="00E019D6"/>
    <w:rsid w:val="00E604DB"/>
    <w:rsid w:val="00E64400"/>
    <w:rsid w:val="00E76CBA"/>
    <w:rsid w:val="00E8050C"/>
    <w:rsid w:val="00E90801"/>
    <w:rsid w:val="00E94F6A"/>
    <w:rsid w:val="00EA088C"/>
    <w:rsid w:val="00EB0741"/>
    <w:rsid w:val="00EE7BE5"/>
    <w:rsid w:val="00EF384A"/>
    <w:rsid w:val="00F22DA6"/>
    <w:rsid w:val="00F43D0A"/>
    <w:rsid w:val="00F56711"/>
    <w:rsid w:val="00F5790C"/>
    <w:rsid w:val="00F77101"/>
    <w:rsid w:val="00F97395"/>
    <w:rsid w:val="00FE1161"/>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1850D3"/>
    <w:rPr>
      <w:rFonts w:ascii="Perpetua Std" w:hAnsi="Perpetua Std"/>
    </w:rPr>
  </w:style>
  <w:style w:type="paragraph" w:styleId="Heading1">
    <w:name w:val="heading 1"/>
    <w:basedOn w:val="Normal"/>
    <w:next w:val="Normal"/>
    <w:link w:val="Heading1Char"/>
    <w:qFormat/>
    <w:rsid w:val="001850D3"/>
    <w:pPr>
      <w:keepNext/>
      <w:outlineLvl w:val="0"/>
    </w:pPr>
    <w:rPr>
      <w:b/>
    </w:rPr>
  </w:style>
  <w:style w:type="paragraph" w:styleId="Heading2">
    <w:name w:val="heading 2"/>
    <w:basedOn w:val="Normal"/>
    <w:next w:val="Normal"/>
    <w:link w:val="Heading2Char"/>
    <w:qFormat/>
    <w:rsid w:val="001850D3"/>
    <w:pPr>
      <w:keepNext/>
      <w:spacing w:before="240" w:after="60"/>
      <w:outlineLvl w:val="1"/>
    </w:pPr>
    <w:rPr>
      <w:rFonts w:ascii="Arial" w:hAnsi="Arial"/>
      <w:b/>
      <w:i/>
      <w:sz w:val="24"/>
    </w:rPr>
  </w:style>
  <w:style w:type="paragraph" w:styleId="Heading3">
    <w:name w:val="heading 3"/>
    <w:basedOn w:val="Normal"/>
    <w:next w:val="Normal"/>
    <w:link w:val="Heading3Char"/>
    <w:qFormat/>
    <w:rsid w:val="001850D3"/>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1850D3"/>
    <w:pPr>
      <w:spacing w:after="240"/>
      <w:jc w:val="both"/>
    </w:pPr>
    <w:rPr>
      <w:rFonts w:ascii="Helvetica LT Std" w:hAnsi="Helvetica LT Std"/>
      <w:b/>
      <w:color w:val="000000"/>
      <w:sz w:val="26"/>
    </w:rPr>
  </w:style>
  <w:style w:type="paragraph" w:styleId="FootnoteText">
    <w:name w:val="footnote text"/>
    <w:basedOn w:val="Normal"/>
    <w:link w:val="FootnoteTextChar"/>
    <w:rsid w:val="00536B05"/>
  </w:style>
  <w:style w:type="character" w:customStyle="1" w:styleId="FootnoteTextChar">
    <w:name w:val="Footnote Text Char"/>
    <w:link w:val="FootnoteText"/>
    <w:rsid w:val="00536B05"/>
    <w:rPr>
      <w:sz w:val="20"/>
      <w:szCs w:val="20"/>
    </w:rPr>
  </w:style>
  <w:style w:type="character" w:styleId="FootnoteReference">
    <w:name w:val="footnote reference"/>
    <w:rsid w:val="001850D3"/>
    <w:rPr>
      <w:vertAlign w:val="superscript"/>
    </w:rPr>
  </w:style>
  <w:style w:type="paragraph" w:customStyle="1" w:styleId="PA">
    <w:name w:val="PA"/>
    <w:next w:val="Normal"/>
    <w:link w:val="PAChar"/>
    <w:rsid w:val="001850D3"/>
    <w:pPr>
      <w:spacing w:after="240"/>
      <w:ind w:firstLine="288"/>
      <w:jc w:val="both"/>
    </w:pPr>
    <w:rPr>
      <w:rFonts w:ascii="Perpetua Std" w:hAnsi="Perpetua Std"/>
      <w:color w:val="000000"/>
      <w:sz w:val="24"/>
    </w:rPr>
  </w:style>
  <w:style w:type="character" w:customStyle="1" w:styleId="PAChar">
    <w:name w:val="PA Char"/>
    <w:link w:val="PA"/>
    <w:rsid w:val="001850D3"/>
    <w:rPr>
      <w:rFonts w:ascii="Perpetua Std" w:hAnsi="Perpetua Std"/>
      <w:color w:val="000000"/>
      <w:sz w:val="24"/>
    </w:rPr>
  </w:style>
  <w:style w:type="character" w:styleId="Hyperlink">
    <w:name w:val="Hyperlink"/>
    <w:rsid w:val="00A804B9"/>
    <w:rPr>
      <w:color w:val="0000FF"/>
      <w:u w:val="single"/>
    </w:rPr>
  </w:style>
  <w:style w:type="paragraph" w:styleId="BalloonText">
    <w:name w:val="Balloon Text"/>
    <w:basedOn w:val="Normal"/>
    <w:link w:val="BalloonTextChar"/>
    <w:rsid w:val="00B611F0"/>
    <w:rPr>
      <w:rFonts w:ascii="Tahoma" w:hAnsi="Tahoma" w:cs="Tahoma"/>
      <w:sz w:val="16"/>
      <w:szCs w:val="16"/>
    </w:rPr>
  </w:style>
  <w:style w:type="character" w:customStyle="1" w:styleId="BalloonTextChar">
    <w:name w:val="Balloon Text Char"/>
    <w:link w:val="BalloonText"/>
    <w:rsid w:val="00B611F0"/>
    <w:rPr>
      <w:rFonts w:ascii="Tahoma" w:hAnsi="Tahoma" w:cs="Tahoma"/>
      <w:sz w:val="16"/>
      <w:szCs w:val="16"/>
    </w:rPr>
  </w:style>
  <w:style w:type="paragraph" w:styleId="Footer">
    <w:name w:val="footer"/>
    <w:basedOn w:val="Normal"/>
    <w:link w:val="FooterChar"/>
    <w:rsid w:val="001850D3"/>
    <w:pPr>
      <w:tabs>
        <w:tab w:val="center" w:pos="4320"/>
        <w:tab w:val="right" w:pos="8640"/>
      </w:tabs>
    </w:pPr>
  </w:style>
  <w:style w:type="character" w:customStyle="1" w:styleId="FooterChar">
    <w:name w:val="Footer Char"/>
    <w:link w:val="Footer"/>
    <w:rsid w:val="00B611F0"/>
    <w:rPr>
      <w:rFonts w:ascii="Perpetua Std" w:hAnsi="Perpetua Std"/>
    </w:rPr>
  </w:style>
  <w:style w:type="paragraph" w:styleId="Header">
    <w:name w:val="header"/>
    <w:basedOn w:val="Normal"/>
    <w:link w:val="HeaderChar"/>
    <w:rsid w:val="001850D3"/>
    <w:pPr>
      <w:tabs>
        <w:tab w:val="center" w:pos="4320"/>
        <w:tab w:val="right" w:pos="8640"/>
      </w:tabs>
    </w:pPr>
  </w:style>
  <w:style w:type="character" w:customStyle="1" w:styleId="HeaderChar">
    <w:name w:val="Header Char"/>
    <w:link w:val="Header"/>
    <w:rsid w:val="00B611F0"/>
    <w:rPr>
      <w:rFonts w:ascii="Perpetua Std" w:hAnsi="Perpetua Std"/>
    </w:rPr>
  </w:style>
  <w:style w:type="paragraph" w:customStyle="1" w:styleId="Standard">
    <w:name w:val="Standard"/>
    <w:rsid w:val="001850D3"/>
    <w:pPr>
      <w:spacing w:before="144"/>
      <w:jc w:val="both"/>
    </w:pPr>
    <w:rPr>
      <w:noProof/>
    </w:rPr>
  </w:style>
  <w:style w:type="paragraph" w:customStyle="1" w:styleId="PB">
    <w:name w:val="PB"/>
    <w:rsid w:val="001850D3"/>
    <w:pPr>
      <w:spacing w:after="240"/>
      <w:jc w:val="both"/>
    </w:pPr>
    <w:rPr>
      <w:rFonts w:ascii="Perpetua Std" w:hAnsi="Perpetua Std"/>
      <w:color w:val="000000"/>
      <w:sz w:val="24"/>
    </w:rPr>
  </w:style>
  <w:style w:type="paragraph" w:customStyle="1" w:styleId="PC">
    <w:name w:val="PC"/>
    <w:rsid w:val="001850D3"/>
    <w:pPr>
      <w:tabs>
        <w:tab w:val="left" w:pos="720"/>
      </w:tabs>
      <w:spacing w:after="240"/>
      <w:ind w:left="720" w:hanging="360"/>
      <w:jc w:val="both"/>
    </w:pPr>
    <w:rPr>
      <w:rFonts w:ascii="Perpetua Std" w:hAnsi="Perpetua Std"/>
      <w:color w:val="000000"/>
      <w:sz w:val="24"/>
    </w:rPr>
  </w:style>
  <w:style w:type="paragraph" w:customStyle="1" w:styleId="PD">
    <w:name w:val="PD"/>
    <w:rsid w:val="001850D3"/>
    <w:pPr>
      <w:spacing w:after="240"/>
      <w:ind w:left="720" w:firstLine="288"/>
      <w:jc w:val="both"/>
    </w:pPr>
    <w:rPr>
      <w:rFonts w:ascii="Perpetua Std" w:hAnsi="Perpetua Std"/>
      <w:color w:val="000000"/>
      <w:sz w:val="24"/>
    </w:rPr>
  </w:style>
  <w:style w:type="paragraph" w:customStyle="1" w:styleId="PE">
    <w:name w:val="PE"/>
    <w:rsid w:val="001850D3"/>
    <w:pPr>
      <w:spacing w:after="240"/>
      <w:ind w:left="720"/>
      <w:jc w:val="both"/>
    </w:pPr>
    <w:rPr>
      <w:rFonts w:ascii="Perpetua Std" w:hAnsi="Perpetua Std"/>
      <w:color w:val="000000"/>
      <w:sz w:val="24"/>
    </w:rPr>
  </w:style>
  <w:style w:type="paragraph" w:customStyle="1" w:styleId="PF">
    <w:name w:val="PF"/>
    <w:rsid w:val="001850D3"/>
    <w:pPr>
      <w:tabs>
        <w:tab w:val="left" w:pos="1080"/>
      </w:tabs>
      <w:spacing w:after="240"/>
      <w:ind w:left="1080" w:hanging="360"/>
      <w:jc w:val="both"/>
    </w:pPr>
    <w:rPr>
      <w:rFonts w:ascii="Perpetua Std" w:hAnsi="Perpetua Std"/>
      <w:color w:val="000000"/>
      <w:sz w:val="24"/>
    </w:rPr>
  </w:style>
  <w:style w:type="paragraph" w:customStyle="1" w:styleId="PG">
    <w:name w:val="PG"/>
    <w:rsid w:val="001850D3"/>
    <w:pPr>
      <w:spacing w:after="240"/>
      <w:ind w:left="360"/>
      <w:jc w:val="both"/>
    </w:pPr>
    <w:rPr>
      <w:rFonts w:ascii="Perpetua Std" w:hAnsi="Perpetua Std"/>
      <w:color w:val="000000"/>
      <w:sz w:val="24"/>
    </w:rPr>
  </w:style>
  <w:style w:type="paragraph" w:customStyle="1" w:styleId="PH">
    <w:name w:val="PH"/>
    <w:rsid w:val="001850D3"/>
    <w:pPr>
      <w:tabs>
        <w:tab w:val="left" w:pos="360"/>
      </w:tabs>
      <w:spacing w:after="240"/>
      <w:ind w:left="360" w:hanging="360"/>
      <w:jc w:val="both"/>
    </w:pPr>
    <w:rPr>
      <w:rFonts w:ascii="Perpetua Std" w:hAnsi="Perpetua Std"/>
      <w:color w:val="000000"/>
      <w:sz w:val="24"/>
    </w:rPr>
  </w:style>
  <w:style w:type="paragraph" w:customStyle="1" w:styleId="PI">
    <w:name w:val="PI"/>
    <w:rsid w:val="001850D3"/>
    <w:pPr>
      <w:spacing w:after="240"/>
      <w:ind w:left="360" w:hanging="360"/>
      <w:jc w:val="both"/>
    </w:pPr>
    <w:rPr>
      <w:rFonts w:ascii="Perpetua Std" w:hAnsi="Perpetua Std"/>
      <w:color w:val="000000"/>
      <w:sz w:val="24"/>
    </w:rPr>
  </w:style>
  <w:style w:type="paragraph" w:customStyle="1" w:styleId="PK">
    <w:name w:val="PK"/>
    <w:rsid w:val="001850D3"/>
    <w:pPr>
      <w:spacing w:after="240"/>
      <w:ind w:left="360" w:firstLine="288"/>
      <w:jc w:val="both"/>
    </w:pPr>
    <w:rPr>
      <w:rFonts w:ascii="Perpetua Std" w:hAnsi="Perpetua Std"/>
      <w:color w:val="000000"/>
      <w:sz w:val="24"/>
    </w:rPr>
  </w:style>
  <w:style w:type="paragraph" w:customStyle="1" w:styleId="PL">
    <w:name w:val="PL"/>
    <w:rsid w:val="001850D3"/>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1850D3"/>
    <w:pPr>
      <w:spacing w:after="240"/>
      <w:ind w:left="432" w:right="432" w:firstLine="432"/>
      <w:jc w:val="both"/>
    </w:pPr>
    <w:rPr>
      <w:rFonts w:ascii="Minion Pro" w:hAnsi="Minion Pro"/>
    </w:rPr>
  </w:style>
  <w:style w:type="paragraph" w:customStyle="1" w:styleId="TOC">
    <w:name w:val="TOC"/>
    <w:autoRedefine/>
    <w:rsid w:val="001850D3"/>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1850D3"/>
    <w:pPr>
      <w:tabs>
        <w:tab w:val="clear" w:pos="1440"/>
        <w:tab w:val="clear" w:pos="8640"/>
        <w:tab w:val="left" w:pos="240"/>
        <w:tab w:val="left" w:pos="480"/>
        <w:tab w:val="right" w:leader="dot" w:pos="4680"/>
      </w:tabs>
      <w:ind w:left="0" w:firstLine="0"/>
    </w:pPr>
    <w:rPr>
      <w:sz w:val="22"/>
    </w:rPr>
  </w:style>
  <w:style w:type="paragraph" w:customStyle="1" w:styleId="PQ">
    <w:name w:val="PQ"/>
    <w:link w:val="PQChar"/>
    <w:rsid w:val="001850D3"/>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1850D3"/>
    <w:rPr>
      <w:rFonts w:ascii="Adobe Caslon Pro" w:hAnsi="Adobe Caslon Pro"/>
      <w:color w:val="000000"/>
      <w:sz w:val="14"/>
    </w:rPr>
  </w:style>
  <w:style w:type="paragraph" w:customStyle="1" w:styleId="HD">
    <w:name w:val="HD"/>
    <w:rsid w:val="001850D3"/>
    <w:pPr>
      <w:suppressAutoHyphens/>
      <w:spacing w:before="120"/>
      <w:jc w:val="center"/>
    </w:pPr>
    <w:rPr>
      <w:rFonts w:ascii="Helvetica LT Std" w:hAnsi="Helvetica LT Std"/>
      <w:sz w:val="26"/>
      <w:szCs w:val="18"/>
    </w:rPr>
  </w:style>
  <w:style w:type="paragraph" w:customStyle="1" w:styleId="PP">
    <w:name w:val="PP"/>
    <w:rsid w:val="001850D3"/>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1850D3"/>
    <w:pPr>
      <w:spacing w:before="120" w:after="120"/>
      <w:jc w:val="center"/>
    </w:pPr>
    <w:rPr>
      <w:rFonts w:ascii="Helvetica LT Std" w:hAnsi="Helvetica LT Std"/>
      <w:sz w:val="24"/>
    </w:rPr>
  </w:style>
  <w:style w:type="paragraph" w:customStyle="1" w:styleId="PN">
    <w:name w:val="PN"/>
    <w:rsid w:val="001850D3"/>
    <w:pPr>
      <w:spacing w:after="240"/>
      <w:ind w:left="720" w:firstLine="288"/>
      <w:jc w:val="both"/>
    </w:pPr>
    <w:rPr>
      <w:rFonts w:ascii="Perpetua Std" w:eastAsia="MS Mincho" w:hAnsi="Perpetua Std"/>
      <w:color w:val="000000"/>
    </w:rPr>
  </w:style>
  <w:style w:type="table" w:styleId="TableGrid">
    <w:name w:val="Table Grid"/>
    <w:basedOn w:val="TableNormal"/>
    <w:rsid w:val="00185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1850D3"/>
    <w:pPr>
      <w:spacing w:after="240"/>
      <w:jc w:val="center"/>
    </w:pPr>
    <w:rPr>
      <w:rFonts w:ascii="Helvetica LT Std" w:hAnsi="Helvetica LT Std"/>
      <w:b/>
      <w:caps/>
      <w:color w:val="000000"/>
      <w:sz w:val="36"/>
      <w:szCs w:val="32"/>
    </w:rPr>
  </w:style>
  <w:style w:type="paragraph" w:customStyle="1" w:styleId="HB">
    <w:name w:val="HB"/>
    <w:rsid w:val="001850D3"/>
    <w:pPr>
      <w:spacing w:before="120" w:after="240"/>
      <w:jc w:val="center"/>
    </w:pPr>
    <w:rPr>
      <w:rFonts w:ascii="Helvetica LT Std" w:hAnsi="Helvetica LT Std"/>
      <w:b/>
      <w:color w:val="5F5F5F"/>
      <w:w w:val="105"/>
      <w:sz w:val="32"/>
    </w:rPr>
  </w:style>
  <w:style w:type="paragraph" w:customStyle="1" w:styleId="HC">
    <w:name w:val="HC"/>
    <w:autoRedefine/>
    <w:rsid w:val="001850D3"/>
    <w:pPr>
      <w:tabs>
        <w:tab w:val="left" w:pos="284"/>
      </w:tabs>
      <w:spacing w:before="120" w:after="120"/>
      <w:jc w:val="center"/>
    </w:pPr>
    <w:rPr>
      <w:rFonts w:ascii="Helvetica LT Std" w:hAnsi="Helvetica LT Std"/>
      <w:b/>
      <w:color w:val="000000"/>
      <w:w w:val="110"/>
      <w:sz w:val="26"/>
    </w:rPr>
  </w:style>
  <w:style w:type="paragraph" w:customStyle="1" w:styleId="PR">
    <w:name w:val="PR"/>
    <w:rsid w:val="001850D3"/>
    <w:pPr>
      <w:spacing w:after="240"/>
      <w:ind w:left="360" w:firstLine="288"/>
      <w:jc w:val="both"/>
    </w:pPr>
    <w:rPr>
      <w:rFonts w:ascii="Adobe Caslon Pro" w:hAnsi="Adobe Caslon Pro"/>
      <w:color w:val="000000"/>
      <w:sz w:val="14"/>
    </w:rPr>
  </w:style>
  <w:style w:type="paragraph" w:customStyle="1" w:styleId="PO">
    <w:name w:val="PO"/>
    <w:rsid w:val="001850D3"/>
    <w:pPr>
      <w:spacing w:after="240"/>
      <w:jc w:val="both"/>
    </w:pPr>
    <w:rPr>
      <w:rFonts w:ascii="Perpetua Std" w:hAnsi="Perpetua Std"/>
      <w:color w:val="000000"/>
      <w:w w:val="95"/>
      <w:szCs w:val="16"/>
    </w:rPr>
  </w:style>
  <w:style w:type="paragraph" w:customStyle="1" w:styleId="GUIDEX">
    <w:name w:val="GUIDEX"/>
    <w:rsid w:val="001850D3"/>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1850D3"/>
    <w:pPr>
      <w:tabs>
        <w:tab w:val="clear" w:pos="240"/>
        <w:tab w:val="clear" w:pos="480"/>
        <w:tab w:val="clear" w:pos="720"/>
        <w:tab w:val="right" w:pos="4680"/>
      </w:tabs>
    </w:pPr>
  </w:style>
  <w:style w:type="paragraph" w:customStyle="1" w:styleId="PCB">
    <w:name w:val="PCB"/>
    <w:autoRedefine/>
    <w:rsid w:val="001850D3"/>
    <w:pPr>
      <w:numPr>
        <w:numId w:val="13"/>
      </w:numPr>
      <w:tabs>
        <w:tab w:val="left" w:pos="720"/>
      </w:tabs>
      <w:spacing w:after="240"/>
      <w:ind w:left="720"/>
      <w:jc w:val="both"/>
    </w:pPr>
    <w:rPr>
      <w:rFonts w:ascii="Perpetua Std" w:hAnsi="Perpetua Std"/>
      <w:color w:val="000000"/>
      <w:sz w:val="24"/>
    </w:rPr>
  </w:style>
  <w:style w:type="paragraph" w:customStyle="1" w:styleId="PFB">
    <w:name w:val="PFB"/>
    <w:autoRedefine/>
    <w:rsid w:val="001850D3"/>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1850D3"/>
    <w:rPr>
      <w:rFonts w:ascii="Perpetua Std" w:hAnsi="Perpetua Std"/>
    </w:rPr>
  </w:style>
  <w:style w:type="paragraph" w:styleId="NoSpacing">
    <w:name w:val="No Spacing"/>
    <w:qFormat/>
    <w:rsid w:val="001850D3"/>
    <w:rPr>
      <w:rFonts w:ascii="Perpetua" w:hAnsi="Perpetua"/>
    </w:rPr>
  </w:style>
  <w:style w:type="paragraph" w:customStyle="1" w:styleId="PCA">
    <w:name w:val="PCA"/>
    <w:rsid w:val="001850D3"/>
    <w:pPr>
      <w:numPr>
        <w:numId w:val="16"/>
      </w:numPr>
      <w:tabs>
        <w:tab w:val="left" w:pos="720"/>
      </w:tabs>
      <w:spacing w:after="240"/>
      <w:jc w:val="both"/>
    </w:pPr>
    <w:rPr>
      <w:rFonts w:ascii="Perpetua Std" w:hAnsi="Perpetua Std"/>
      <w:sz w:val="24"/>
    </w:rPr>
  </w:style>
  <w:style w:type="paragraph" w:customStyle="1" w:styleId="PHB">
    <w:name w:val="PHB"/>
    <w:rsid w:val="001850D3"/>
    <w:pPr>
      <w:numPr>
        <w:numId w:val="17"/>
      </w:numPr>
      <w:tabs>
        <w:tab w:val="left" w:pos="360"/>
      </w:tabs>
      <w:spacing w:after="240"/>
      <w:jc w:val="both"/>
    </w:pPr>
    <w:rPr>
      <w:rFonts w:ascii="Perpetua Std" w:hAnsi="Perpetua Std"/>
      <w:sz w:val="24"/>
    </w:rPr>
  </w:style>
  <w:style w:type="character" w:customStyle="1" w:styleId="IndexChar">
    <w:name w:val="Index Char"/>
    <w:link w:val="Index"/>
    <w:rsid w:val="001850D3"/>
    <w:rPr>
      <w:rFonts w:ascii="Perpetua Std" w:eastAsia="MS Mincho" w:hAnsi="Perpetua Std"/>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1850D3"/>
    <w:rPr>
      <w:rFonts w:ascii="Perpetua Std" w:hAnsi="Perpetua Std"/>
    </w:rPr>
  </w:style>
  <w:style w:type="paragraph" w:styleId="Heading1">
    <w:name w:val="heading 1"/>
    <w:basedOn w:val="Normal"/>
    <w:next w:val="Normal"/>
    <w:link w:val="Heading1Char"/>
    <w:qFormat/>
    <w:rsid w:val="001850D3"/>
    <w:pPr>
      <w:keepNext/>
      <w:outlineLvl w:val="0"/>
    </w:pPr>
    <w:rPr>
      <w:b/>
    </w:rPr>
  </w:style>
  <w:style w:type="paragraph" w:styleId="Heading2">
    <w:name w:val="heading 2"/>
    <w:basedOn w:val="Normal"/>
    <w:next w:val="Normal"/>
    <w:link w:val="Heading2Char"/>
    <w:qFormat/>
    <w:rsid w:val="001850D3"/>
    <w:pPr>
      <w:keepNext/>
      <w:spacing w:before="240" w:after="60"/>
      <w:outlineLvl w:val="1"/>
    </w:pPr>
    <w:rPr>
      <w:rFonts w:ascii="Arial" w:hAnsi="Arial"/>
      <w:b/>
      <w:i/>
      <w:sz w:val="24"/>
    </w:rPr>
  </w:style>
  <w:style w:type="paragraph" w:styleId="Heading3">
    <w:name w:val="heading 3"/>
    <w:basedOn w:val="Normal"/>
    <w:next w:val="Normal"/>
    <w:link w:val="Heading3Char"/>
    <w:qFormat/>
    <w:rsid w:val="001850D3"/>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B16D5"/>
    <w:rPr>
      <w:rFonts w:ascii="Perpetua Std" w:hAnsi="Perpetua Std"/>
      <w:b/>
    </w:rPr>
  </w:style>
  <w:style w:type="character" w:customStyle="1" w:styleId="Heading2Char">
    <w:name w:val="Heading 2 Char"/>
    <w:link w:val="Heading2"/>
    <w:rsid w:val="008B16D5"/>
    <w:rPr>
      <w:rFonts w:ascii="Arial" w:hAnsi="Arial"/>
      <w:b/>
      <w:i/>
      <w:sz w:val="24"/>
    </w:rPr>
  </w:style>
  <w:style w:type="character" w:customStyle="1" w:styleId="Heading3Char">
    <w:name w:val="Heading 3 Char"/>
    <w:link w:val="Heading3"/>
    <w:rsid w:val="008B16D5"/>
    <w:rPr>
      <w:rFonts w:ascii="Arial" w:hAnsi="Arial"/>
      <w:sz w:val="24"/>
    </w:rPr>
  </w:style>
  <w:style w:type="paragraph" w:styleId="ListParagraph">
    <w:name w:val="List Paragraph"/>
    <w:basedOn w:val="Normal"/>
    <w:qFormat/>
    <w:rsid w:val="008B16D5"/>
    <w:pPr>
      <w:ind w:left="720"/>
      <w:contextualSpacing/>
    </w:pPr>
  </w:style>
  <w:style w:type="paragraph" w:styleId="TOCHeading">
    <w:name w:val="TOC Heading"/>
    <w:basedOn w:val="Heading1"/>
    <w:next w:val="Normal"/>
    <w:qFormat/>
    <w:rsid w:val="008B16D5"/>
    <w:pPr>
      <w:outlineLvl w:val="9"/>
    </w:pPr>
  </w:style>
  <w:style w:type="paragraph" w:customStyle="1" w:styleId="QU">
    <w:name w:val="QU"/>
    <w:rsid w:val="001850D3"/>
    <w:pPr>
      <w:spacing w:after="240"/>
      <w:jc w:val="both"/>
    </w:pPr>
    <w:rPr>
      <w:rFonts w:ascii="Helvetica LT Std" w:hAnsi="Helvetica LT Std"/>
      <w:b/>
      <w:color w:val="000000"/>
      <w:sz w:val="26"/>
    </w:rPr>
  </w:style>
  <w:style w:type="paragraph" w:styleId="FootnoteText">
    <w:name w:val="footnote text"/>
    <w:basedOn w:val="Normal"/>
    <w:link w:val="FootnoteTextChar"/>
    <w:rsid w:val="00536B05"/>
  </w:style>
  <w:style w:type="character" w:customStyle="1" w:styleId="FootnoteTextChar">
    <w:name w:val="Footnote Text Char"/>
    <w:link w:val="FootnoteText"/>
    <w:rsid w:val="00536B05"/>
    <w:rPr>
      <w:sz w:val="20"/>
      <w:szCs w:val="20"/>
    </w:rPr>
  </w:style>
  <w:style w:type="character" w:styleId="FootnoteReference">
    <w:name w:val="footnote reference"/>
    <w:rsid w:val="001850D3"/>
    <w:rPr>
      <w:vertAlign w:val="superscript"/>
    </w:rPr>
  </w:style>
  <w:style w:type="paragraph" w:customStyle="1" w:styleId="PA">
    <w:name w:val="PA"/>
    <w:next w:val="Normal"/>
    <w:link w:val="PAChar"/>
    <w:rsid w:val="001850D3"/>
    <w:pPr>
      <w:spacing w:after="240"/>
      <w:ind w:firstLine="288"/>
      <w:jc w:val="both"/>
    </w:pPr>
    <w:rPr>
      <w:rFonts w:ascii="Perpetua Std" w:hAnsi="Perpetua Std"/>
      <w:color w:val="000000"/>
      <w:sz w:val="24"/>
    </w:rPr>
  </w:style>
  <w:style w:type="character" w:customStyle="1" w:styleId="PAChar">
    <w:name w:val="PA Char"/>
    <w:link w:val="PA"/>
    <w:rsid w:val="001850D3"/>
    <w:rPr>
      <w:rFonts w:ascii="Perpetua Std" w:hAnsi="Perpetua Std"/>
      <w:color w:val="000000"/>
      <w:sz w:val="24"/>
    </w:rPr>
  </w:style>
  <w:style w:type="character" w:styleId="Hyperlink">
    <w:name w:val="Hyperlink"/>
    <w:rsid w:val="00A804B9"/>
    <w:rPr>
      <w:color w:val="0000FF"/>
      <w:u w:val="single"/>
    </w:rPr>
  </w:style>
  <w:style w:type="paragraph" w:styleId="BalloonText">
    <w:name w:val="Balloon Text"/>
    <w:basedOn w:val="Normal"/>
    <w:link w:val="BalloonTextChar"/>
    <w:rsid w:val="00B611F0"/>
    <w:rPr>
      <w:rFonts w:ascii="Tahoma" w:hAnsi="Tahoma" w:cs="Tahoma"/>
      <w:sz w:val="16"/>
      <w:szCs w:val="16"/>
    </w:rPr>
  </w:style>
  <w:style w:type="character" w:customStyle="1" w:styleId="BalloonTextChar">
    <w:name w:val="Balloon Text Char"/>
    <w:link w:val="BalloonText"/>
    <w:rsid w:val="00B611F0"/>
    <w:rPr>
      <w:rFonts w:ascii="Tahoma" w:hAnsi="Tahoma" w:cs="Tahoma"/>
      <w:sz w:val="16"/>
      <w:szCs w:val="16"/>
    </w:rPr>
  </w:style>
  <w:style w:type="paragraph" w:styleId="Footer">
    <w:name w:val="footer"/>
    <w:basedOn w:val="Normal"/>
    <w:link w:val="FooterChar"/>
    <w:rsid w:val="001850D3"/>
    <w:pPr>
      <w:tabs>
        <w:tab w:val="center" w:pos="4320"/>
        <w:tab w:val="right" w:pos="8640"/>
      </w:tabs>
    </w:pPr>
  </w:style>
  <w:style w:type="character" w:customStyle="1" w:styleId="FooterChar">
    <w:name w:val="Footer Char"/>
    <w:link w:val="Footer"/>
    <w:rsid w:val="00B611F0"/>
    <w:rPr>
      <w:rFonts w:ascii="Perpetua Std" w:hAnsi="Perpetua Std"/>
    </w:rPr>
  </w:style>
  <w:style w:type="paragraph" w:styleId="Header">
    <w:name w:val="header"/>
    <w:basedOn w:val="Normal"/>
    <w:link w:val="HeaderChar"/>
    <w:rsid w:val="001850D3"/>
    <w:pPr>
      <w:tabs>
        <w:tab w:val="center" w:pos="4320"/>
        <w:tab w:val="right" w:pos="8640"/>
      </w:tabs>
    </w:pPr>
  </w:style>
  <w:style w:type="character" w:customStyle="1" w:styleId="HeaderChar">
    <w:name w:val="Header Char"/>
    <w:link w:val="Header"/>
    <w:rsid w:val="00B611F0"/>
    <w:rPr>
      <w:rFonts w:ascii="Perpetua Std" w:hAnsi="Perpetua Std"/>
    </w:rPr>
  </w:style>
  <w:style w:type="paragraph" w:customStyle="1" w:styleId="Standard">
    <w:name w:val="Standard"/>
    <w:rsid w:val="001850D3"/>
    <w:pPr>
      <w:spacing w:before="144"/>
      <w:jc w:val="both"/>
    </w:pPr>
    <w:rPr>
      <w:noProof/>
    </w:rPr>
  </w:style>
  <w:style w:type="paragraph" w:customStyle="1" w:styleId="PB">
    <w:name w:val="PB"/>
    <w:rsid w:val="001850D3"/>
    <w:pPr>
      <w:spacing w:after="240"/>
      <w:jc w:val="both"/>
    </w:pPr>
    <w:rPr>
      <w:rFonts w:ascii="Perpetua Std" w:hAnsi="Perpetua Std"/>
      <w:color w:val="000000"/>
      <w:sz w:val="24"/>
    </w:rPr>
  </w:style>
  <w:style w:type="paragraph" w:customStyle="1" w:styleId="PC">
    <w:name w:val="PC"/>
    <w:rsid w:val="001850D3"/>
    <w:pPr>
      <w:tabs>
        <w:tab w:val="left" w:pos="720"/>
      </w:tabs>
      <w:spacing w:after="240"/>
      <w:ind w:left="720" w:hanging="360"/>
      <w:jc w:val="both"/>
    </w:pPr>
    <w:rPr>
      <w:rFonts w:ascii="Perpetua Std" w:hAnsi="Perpetua Std"/>
      <w:color w:val="000000"/>
      <w:sz w:val="24"/>
    </w:rPr>
  </w:style>
  <w:style w:type="paragraph" w:customStyle="1" w:styleId="PD">
    <w:name w:val="PD"/>
    <w:rsid w:val="001850D3"/>
    <w:pPr>
      <w:spacing w:after="240"/>
      <w:ind w:left="720" w:firstLine="288"/>
      <w:jc w:val="both"/>
    </w:pPr>
    <w:rPr>
      <w:rFonts w:ascii="Perpetua Std" w:hAnsi="Perpetua Std"/>
      <w:color w:val="000000"/>
      <w:sz w:val="24"/>
    </w:rPr>
  </w:style>
  <w:style w:type="paragraph" w:customStyle="1" w:styleId="PE">
    <w:name w:val="PE"/>
    <w:rsid w:val="001850D3"/>
    <w:pPr>
      <w:spacing w:after="240"/>
      <w:ind w:left="720"/>
      <w:jc w:val="both"/>
    </w:pPr>
    <w:rPr>
      <w:rFonts w:ascii="Perpetua Std" w:hAnsi="Perpetua Std"/>
      <w:color w:val="000000"/>
      <w:sz w:val="24"/>
    </w:rPr>
  </w:style>
  <w:style w:type="paragraph" w:customStyle="1" w:styleId="PF">
    <w:name w:val="PF"/>
    <w:rsid w:val="001850D3"/>
    <w:pPr>
      <w:tabs>
        <w:tab w:val="left" w:pos="1080"/>
      </w:tabs>
      <w:spacing w:after="240"/>
      <w:ind w:left="1080" w:hanging="360"/>
      <w:jc w:val="both"/>
    </w:pPr>
    <w:rPr>
      <w:rFonts w:ascii="Perpetua Std" w:hAnsi="Perpetua Std"/>
      <w:color w:val="000000"/>
      <w:sz w:val="24"/>
    </w:rPr>
  </w:style>
  <w:style w:type="paragraph" w:customStyle="1" w:styleId="PG">
    <w:name w:val="PG"/>
    <w:rsid w:val="001850D3"/>
    <w:pPr>
      <w:spacing w:after="240"/>
      <w:ind w:left="360"/>
      <w:jc w:val="both"/>
    </w:pPr>
    <w:rPr>
      <w:rFonts w:ascii="Perpetua Std" w:hAnsi="Perpetua Std"/>
      <w:color w:val="000000"/>
      <w:sz w:val="24"/>
    </w:rPr>
  </w:style>
  <w:style w:type="paragraph" w:customStyle="1" w:styleId="PH">
    <w:name w:val="PH"/>
    <w:rsid w:val="001850D3"/>
    <w:pPr>
      <w:tabs>
        <w:tab w:val="left" w:pos="360"/>
      </w:tabs>
      <w:spacing w:after="240"/>
      <w:ind w:left="360" w:hanging="360"/>
      <w:jc w:val="both"/>
    </w:pPr>
    <w:rPr>
      <w:rFonts w:ascii="Perpetua Std" w:hAnsi="Perpetua Std"/>
      <w:color w:val="000000"/>
      <w:sz w:val="24"/>
    </w:rPr>
  </w:style>
  <w:style w:type="paragraph" w:customStyle="1" w:styleId="PI">
    <w:name w:val="PI"/>
    <w:rsid w:val="001850D3"/>
    <w:pPr>
      <w:spacing w:after="240"/>
      <w:ind w:left="360" w:hanging="360"/>
      <w:jc w:val="both"/>
    </w:pPr>
    <w:rPr>
      <w:rFonts w:ascii="Perpetua Std" w:hAnsi="Perpetua Std"/>
      <w:color w:val="000000"/>
      <w:sz w:val="24"/>
    </w:rPr>
  </w:style>
  <w:style w:type="paragraph" w:customStyle="1" w:styleId="PK">
    <w:name w:val="PK"/>
    <w:rsid w:val="001850D3"/>
    <w:pPr>
      <w:spacing w:after="240"/>
      <w:ind w:left="360" w:firstLine="288"/>
      <w:jc w:val="both"/>
    </w:pPr>
    <w:rPr>
      <w:rFonts w:ascii="Perpetua Std" w:hAnsi="Perpetua Std"/>
      <w:color w:val="000000"/>
      <w:sz w:val="24"/>
    </w:rPr>
  </w:style>
  <w:style w:type="paragraph" w:customStyle="1" w:styleId="PL">
    <w:name w:val="PL"/>
    <w:rsid w:val="001850D3"/>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1850D3"/>
    <w:pPr>
      <w:spacing w:after="240"/>
      <w:ind w:left="432" w:right="432" w:firstLine="432"/>
      <w:jc w:val="both"/>
    </w:pPr>
    <w:rPr>
      <w:rFonts w:ascii="Minion Pro" w:hAnsi="Minion Pro"/>
    </w:rPr>
  </w:style>
  <w:style w:type="paragraph" w:customStyle="1" w:styleId="TOC">
    <w:name w:val="TOC"/>
    <w:autoRedefine/>
    <w:rsid w:val="001850D3"/>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1850D3"/>
    <w:pPr>
      <w:tabs>
        <w:tab w:val="clear" w:pos="1440"/>
        <w:tab w:val="clear" w:pos="8640"/>
        <w:tab w:val="left" w:pos="240"/>
        <w:tab w:val="left" w:pos="480"/>
        <w:tab w:val="right" w:leader="dot" w:pos="4680"/>
      </w:tabs>
      <w:ind w:left="0" w:firstLine="0"/>
    </w:pPr>
    <w:rPr>
      <w:sz w:val="22"/>
    </w:rPr>
  </w:style>
  <w:style w:type="paragraph" w:customStyle="1" w:styleId="PQ">
    <w:name w:val="PQ"/>
    <w:link w:val="PQChar"/>
    <w:rsid w:val="001850D3"/>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1850D3"/>
    <w:rPr>
      <w:rFonts w:ascii="Adobe Caslon Pro" w:hAnsi="Adobe Caslon Pro"/>
      <w:color w:val="000000"/>
      <w:sz w:val="14"/>
    </w:rPr>
  </w:style>
  <w:style w:type="paragraph" w:customStyle="1" w:styleId="HD">
    <w:name w:val="HD"/>
    <w:rsid w:val="001850D3"/>
    <w:pPr>
      <w:suppressAutoHyphens/>
      <w:spacing w:before="120"/>
      <w:jc w:val="center"/>
    </w:pPr>
    <w:rPr>
      <w:rFonts w:ascii="Helvetica LT Std" w:hAnsi="Helvetica LT Std"/>
      <w:sz w:val="26"/>
      <w:szCs w:val="18"/>
    </w:rPr>
  </w:style>
  <w:style w:type="paragraph" w:customStyle="1" w:styleId="PP">
    <w:name w:val="PP"/>
    <w:rsid w:val="001850D3"/>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1850D3"/>
    <w:pPr>
      <w:spacing w:before="120" w:after="120"/>
      <w:jc w:val="center"/>
    </w:pPr>
    <w:rPr>
      <w:rFonts w:ascii="Helvetica LT Std" w:hAnsi="Helvetica LT Std"/>
      <w:sz w:val="24"/>
    </w:rPr>
  </w:style>
  <w:style w:type="paragraph" w:customStyle="1" w:styleId="PN">
    <w:name w:val="PN"/>
    <w:rsid w:val="001850D3"/>
    <w:pPr>
      <w:spacing w:after="240"/>
      <w:ind w:left="720" w:firstLine="288"/>
      <w:jc w:val="both"/>
    </w:pPr>
    <w:rPr>
      <w:rFonts w:ascii="Perpetua Std" w:eastAsia="MS Mincho" w:hAnsi="Perpetua Std"/>
      <w:color w:val="000000"/>
    </w:rPr>
  </w:style>
  <w:style w:type="table" w:styleId="TableGrid">
    <w:name w:val="Table Grid"/>
    <w:basedOn w:val="TableNormal"/>
    <w:rsid w:val="001850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
    <w:name w:val="HA"/>
    <w:autoRedefine/>
    <w:rsid w:val="001850D3"/>
    <w:pPr>
      <w:spacing w:after="240"/>
      <w:jc w:val="center"/>
    </w:pPr>
    <w:rPr>
      <w:rFonts w:ascii="Helvetica LT Std" w:hAnsi="Helvetica LT Std"/>
      <w:b/>
      <w:caps/>
      <w:color w:val="000000"/>
      <w:sz w:val="36"/>
      <w:szCs w:val="32"/>
    </w:rPr>
  </w:style>
  <w:style w:type="paragraph" w:customStyle="1" w:styleId="HB">
    <w:name w:val="HB"/>
    <w:rsid w:val="001850D3"/>
    <w:pPr>
      <w:spacing w:before="120" w:after="240"/>
      <w:jc w:val="center"/>
    </w:pPr>
    <w:rPr>
      <w:rFonts w:ascii="Helvetica LT Std" w:hAnsi="Helvetica LT Std"/>
      <w:b/>
      <w:color w:val="5F5F5F"/>
      <w:w w:val="105"/>
      <w:sz w:val="32"/>
    </w:rPr>
  </w:style>
  <w:style w:type="paragraph" w:customStyle="1" w:styleId="HC">
    <w:name w:val="HC"/>
    <w:autoRedefine/>
    <w:rsid w:val="001850D3"/>
    <w:pPr>
      <w:tabs>
        <w:tab w:val="left" w:pos="284"/>
      </w:tabs>
      <w:spacing w:before="120" w:after="120"/>
      <w:jc w:val="center"/>
    </w:pPr>
    <w:rPr>
      <w:rFonts w:ascii="Helvetica LT Std" w:hAnsi="Helvetica LT Std"/>
      <w:b/>
      <w:color w:val="000000"/>
      <w:w w:val="110"/>
      <w:sz w:val="26"/>
    </w:rPr>
  </w:style>
  <w:style w:type="paragraph" w:customStyle="1" w:styleId="PR">
    <w:name w:val="PR"/>
    <w:rsid w:val="001850D3"/>
    <w:pPr>
      <w:spacing w:after="240"/>
      <w:ind w:left="360" w:firstLine="288"/>
      <w:jc w:val="both"/>
    </w:pPr>
    <w:rPr>
      <w:rFonts w:ascii="Adobe Caslon Pro" w:hAnsi="Adobe Caslon Pro"/>
      <w:color w:val="000000"/>
      <w:sz w:val="14"/>
    </w:rPr>
  </w:style>
  <w:style w:type="paragraph" w:customStyle="1" w:styleId="PO">
    <w:name w:val="PO"/>
    <w:rsid w:val="001850D3"/>
    <w:pPr>
      <w:spacing w:after="240"/>
      <w:jc w:val="both"/>
    </w:pPr>
    <w:rPr>
      <w:rFonts w:ascii="Perpetua Std" w:hAnsi="Perpetua Std"/>
      <w:color w:val="000000"/>
      <w:w w:val="95"/>
      <w:szCs w:val="16"/>
    </w:rPr>
  </w:style>
  <w:style w:type="paragraph" w:customStyle="1" w:styleId="GUIDEX">
    <w:name w:val="GUIDEX"/>
    <w:rsid w:val="001850D3"/>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1850D3"/>
    <w:pPr>
      <w:tabs>
        <w:tab w:val="clear" w:pos="240"/>
        <w:tab w:val="clear" w:pos="480"/>
        <w:tab w:val="clear" w:pos="720"/>
        <w:tab w:val="right" w:pos="4680"/>
      </w:tabs>
    </w:pPr>
  </w:style>
  <w:style w:type="paragraph" w:customStyle="1" w:styleId="PCB">
    <w:name w:val="PCB"/>
    <w:autoRedefine/>
    <w:rsid w:val="001850D3"/>
    <w:pPr>
      <w:numPr>
        <w:numId w:val="13"/>
      </w:numPr>
      <w:tabs>
        <w:tab w:val="left" w:pos="720"/>
      </w:tabs>
      <w:spacing w:after="240"/>
      <w:ind w:left="720"/>
      <w:jc w:val="both"/>
    </w:pPr>
    <w:rPr>
      <w:rFonts w:ascii="Perpetua Std" w:hAnsi="Perpetua Std"/>
      <w:color w:val="000000"/>
      <w:sz w:val="24"/>
    </w:rPr>
  </w:style>
  <w:style w:type="paragraph" w:customStyle="1" w:styleId="PFB">
    <w:name w:val="PFB"/>
    <w:autoRedefine/>
    <w:rsid w:val="001850D3"/>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1850D3"/>
    <w:rPr>
      <w:rFonts w:ascii="Perpetua Std" w:hAnsi="Perpetua Std"/>
    </w:rPr>
  </w:style>
  <w:style w:type="paragraph" w:styleId="NoSpacing">
    <w:name w:val="No Spacing"/>
    <w:qFormat/>
    <w:rsid w:val="001850D3"/>
    <w:rPr>
      <w:rFonts w:ascii="Perpetua" w:hAnsi="Perpetua"/>
    </w:rPr>
  </w:style>
  <w:style w:type="paragraph" w:customStyle="1" w:styleId="PCA">
    <w:name w:val="PCA"/>
    <w:rsid w:val="001850D3"/>
    <w:pPr>
      <w:numPr>
        <w:numId w:val="16"/>
      </w:numPr>
      <w:tabs>
        <w:tab w:val="left" w:pos="720"/>
      </w:tabs>
      <w:spacing w:after="240"/>
      <w:jc w:val="both"/>
    </w:pPr>
    <w:rPr>
      <w:rFonts w:ascii="Perpetua Std" w:hAnsi="Perpetua Std"/>
      <w:sz w:val="24"/>
    </w:rPr>
  </w:style>
  <w:style w:type="paragraph" w:customStyle="1" w:styleId="PHB">
    <w:name w:val="PHB"/>
    <w:rsid w:val="001850D3"/>
    <w:pPr>
      <w:numPr>
        <w:numId w:val="17"/>
      </w:numPr>
      <w:tabs>
        <w:tab w:val="left" w:pos="360"/>
      </w:tabs>
      <w:spacing w:after="240"/>
      <w:jc w:val="both"/>
    </w:pPr>
    <w:rPr>
      <w:rFonts w:ascii="Perpetua Std" w:hAnsi="Perpetua Std"/>
      <w:sz w:val="24"/>
    </w:rPr>
  </w:style>
  <w:style w:type="character" w:customStyle="1" w:styleId="IndexChar">
    <w:name w:val="Index Char"/>
    <w:link w:val="Index"/>
    <w:rsid w:val="001850D3"/>
    <w:rPr>
      <w:rFonts w:ascii="Perpetua Std" w:eastAsia="MS Mincho" w:hAnsi="Perpetua St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rs.gov/Businesses/Small-Businesses-&amp;-Self-Employed/Questions-and-Answers-for-the-Additional-Medicare-Tax" TargetMode="External"/><Relationship Id="rId1" Type="http://schemas.openxmlformats.org/officeDocument/2006/relationships/hyperlink" Target="http://www.irs.gov/Businesses/Small-Businesses-&amp;-Self-Employed/Questions-and-Answers-for-the-Additional-Medicare-Ta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F65C6-C344-464B-8B44-C4E5830CD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3</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8572. If one spouse earns income in excess of the $200,000 threshold for single taxpayers, but the second spouse’s income causes the couple’s joint income to exceed the threshold for married taxpayers, is the first spouse’s employer required to withhold t</vt:lpstr>
    </vt:vector>
  </TitlesOfParts>
  <Company>Summit Business Media</Company>
  <LinksUpToDate>false</LinksUpToDate>
  <CharactersWithSpaces>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8572. If one spouse earns income in excess of the $200,000 threshold for single taxpayers, but the second spouse’s income causes the couple’s joint income to exceed the threshold for married taxpayers, is the first spouse’s employer required to withhold the additional Medicare tax?</dc:title>
  <dc:creator>Alexis Long</dc:creator>
  <cp:lastModifiedBy>rcline</cp:lastModifiedBy>
  <cp:revision>2</cp:revision>
  <cp:lastPrinted>2014-06-20T14:11:00Z</cp:lastPrinted>
  <dcterms:created xsi:type="dcterms:W3CDTF">2014-07-08T20:28:00Z</dcterms:created>
  <dcterms:modified xsi:type="dcterms:W3CDTF">2014-07-08T20:28:00Z</dcterms:modified>
</cp:coreProperties>
</file>