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38" w:rsidRPr="00033E38" w:rsidRDefault="003701EB" w:rsidP="00B611F0">
      <w:pPr>
        <w:pStyle w:val="PA"/>
        <w:rPr>
          <w:b/>
        </w:rPr>
      </w:pPr>
      <w:r>
        <w:rPr>
          <w:b/>
        </w:rPr>
        <w:t xml:space="preserve">8567.  What is the importance of whether </w:t>
      </w:r>
      <w:r w:rsidR="00033E38" w:rsidRPr="00033E38">
        <w:rPr>
          <w:b/>
        </w:rPr>
        <w:t xml:space="preserve">trade or business activities </w:t>
      </w:r>
      <w:r>
        <w:rPr>
          <w:b/>
        </w:rPr>
        <w:t>are considered “passive” with respect to the taxpayer</w:t>
      </w:r>
      <w:r w:rsidR="00033E38" w:rsidRPr="00033E38">
        <w:rPr>
          <w:b/>
        </w:rPr>
        <w:t>?</w:t>
      </w:r>
    </w:p>
    <w:p w:rsidR="00883F57" w:rsidRDefault="006D3729" w:rsidP="00B611F0">
      <w:pPr>
        <w:pStyle w:val="PA"/>
      </w:pPr>
      <w:r>
        <w:t>Prior to the enactment of the net investment income tax, the relevance of “passive” activities was to limit deductible passive expenses to passive income.</w:t>
      </w:r>
      <w:r>
        <w:rPr>
          <w:rStyle w:val="FootnoteReference"/>
        </w:rPr>
        <w:footnoteReference w:id="1"/>
      </w:r>
      <w:r>
        <w:t xml:space="preserve">  Now, as a result of the net investment income tax, the characterization of an activity as passive has new </w:t>
      </w:r>
      <w:r w:rsidR="003701EB">
        <w:t>significance</w:t>
      </w:r>
      <w:r>
        <w:t xml:space="preserve">.  </w:t>
      </w:r>
      <w:r w:rsidR="00556438">
        <w:t xml:space="preserve">As discussed in Q 8566, </w:t>
      </w:r>
      <w:r>
        <w:t xml:space="preserve">gross income derived from a trade or business </w:t>
      </w:r>
      <w:r w:rsidR="003701EB">
        <w:t xml:space="preserve">and/or net gain attributable to the sale or exchange of property that is passive with respect to the taxpayer is included in net investment income subject to the 3.8% net investment income tax.  </w:t>
      </w:r>
      <w:r w:rsidR="00264856">
        <w:t>To q</w:t>
      </w:r>
      <w:r w:rsidR="009975FC">
        <w:t>ualify for the exclusion</w:t>
      </w:r>
      <w:r w:rsidR="00264856">
        <w:t>,</w:t>
      </w:r>
      <w:r w:rsidR="009975FC">
        <w:t xml:space="preserve"> </w:t>
      </w:r>
      <w:r w:rsidR="003701EB">
        <w:t>the taxpayer</w:t>
      </w:r>
      <w:r w:rsidR="00F83CC7">
        <w:t xml:space="preserve"> must </w:t>
      </w:r>
      <w:r w:rsidR="003701EB">
        <w:t>“materially participat</w:t>
      </w:r>
      <w:r w:rsidR="00F83CC7">
        <w:t>e</w:t>
      </w:r>
      <w:r w:rsidR="003701EB">
        <w:t>” in the business activity so as to make it a non-passive activity.</w:t>
      </w:r>
      <w:r w:rsidR="00883F57">
        <w:t xml:space="preserve"> </w:t>
      </w:r>
    </w:p>
    <w:p w:rsidR="003701EB" w:rsidRDefault="00883F57" w:rsidP="001674BD">
      <w:pPr>
        <w:pStyle w:val="PA"/>
      </w:pPr>
      <w:r>
        <w:t xml:space="preserve">Section 1411 and the regulations reference the definition of passive activity </w:t>
      </w:r>
      <w:r w:rsidR="00264856">
        <w:t xml:space="preserve">set forth </w:t>
      </w:r>
      <w:r>
        <w:t xml:space="preserve">in IRC Section 469, indicating that </w:t>
      </w:r>
      <w:r w:rsidR="00264856">
        <w:t xml:space="preserve">the </w:t>
      </w:r>
      <w:r>
        <w:t xml:space="preserve">rules for determining whether an activity is active or passive </w:t>
      </w:r>
      <w:r w:rsidR="00264856">
        <w:t>apply</w:t>
      </w:r>
      <w:r>
        <w:t xml:space="preserve"> in the context of </w:t>
      </w:r>
      <w:r w:rsidR="007E5AFD">
        <w:t xml:space="preserve">determining whether the income is </w:t>
      </w:r>
      <w:r w:rsidR="00264856">
        <w:t xml:space="preserve">included in </w:t>
      </w:r>
      <w:r>
        <w:t>investment income.</w:t>
      </w:r>
      <w:r>
        <w:rPr>
          <w:rStyle w:val="FootnoteReference"/>
        </w:rPr>
        <w:footnoteReference w:id="2"/>
      </w:r>
      <w:r w:rsidR="003701EB">
        <w:t xml:space="preserve">  </w:t>
      </w:r>
      <w:r w:rsidR="009975FC">
        <w:t xml:space="preserve">Whether an activity is passive or non-passive depends on the level of the taxpayer’s participation in the activity.  </w:t>
      </w:r>
      <w:r w:rsidR="001674BD" w:rsidRPr="00AA4452">
        <w:rPr>
          <w:szCs w:val="24"/>
        </w:rPr>
        <w:t>A passive activity is any trade or business activity in which the taxpayer does not “materially participate.”</w:t>
      </w:r>
      <w:r w:rsidR="001674BD" w:rsidRPr="00EE7BE5">
        <w:rPr>
          <w:rStyle w:val="FootnoteReference"/>
          <w:color w:val="auto"/>
        </w:rPr>
        <w:footnoteReference w:id="3"/>
      </w:r>
      <w:r w:rsidR="001674BD" w:rsidRPr="00AA4452">
        <w:rPr>
          <w:szCs w:val="24"/>
        </w:rPr>
        <w:t xml:space="preserve"> Generally, a taxpayer is considered to </w:t>
      </w:r>
      <w:r w:rsidR="001674BD" w:rsidRPr="00AA4452">
        <w:rPr>
          <w:i/>
          <w:szCs w:val="24"/>
        </w:rPr>
        <w:t>materially participate</w:t>
      </w:r>
      <w:r w:rsidR="001674BD" w:rsidRPr="00AA4452">
        <w:rPr>
          <w:szCs w:val="24"/>
        </w:rPr>
        <w:t xml:space="preserve"> in an activity if he is involved in the operations of the activity on a regular, continuous, and substantial basis.</w:t>
      </w:r>
      <w:r w:rsidR="001674BD">
        <w:rPr>
          <w:szCs w:val="24"/>
        </w:rPr>
        <w:t xml:space="preserve"> </w:t>
      </w:r>
      <w:r w:rsidR="003701EB" w:rsidRPr="00437CBE">
        <w:t xml:space="preserve">Many of the </w:t>
      </w:r>
      <w:r w:rsidR="003701EB">
        <w:t>factors</w:t>
      </w:r>
      <w:r w:rsidR="003701EB" w:rsidRPr="00437CBE">
        <w:t xml:space="preserve"> </w:t>
      </w:r>
      <w:r w:rsidR="003701EB">
        <w:t>considered by the IRS involve</w:t>
      </w:r>
      <w:r w:rsidR="003701EB" w:rsidRPr="00437CBE">
        <w:t xml:space="preserve"> the number of hours that the taxpayer devotes to the activity annually</w:t>
      </w:r>
      <w:r w:rsidR="003701EB">
        <w:t>. The IRS may also compare the</w:t>
      </w:r>
      <w:r w:rsidR="003701EB" w:rsidRPr="00437CBE">
        <w:t xml:space="preserve"> number of hours </w:t>
      </w:r>
      <w:r w:rsidR="003701EB">
        <w:t xml:space="preserve">that a taxpayer devotes to the activity </w:t>
      </w:r>
      <w:r w:rsidR="003701EB" w:rsidRPr="00437CBE">
        <w:t>to the hours spent by others engaged in the</w:t>
      </w:r>
      <w:r w:rsidR="003701EB">
        <w:t xml:space="preserve"> same business. A traditional facts and circumstances</w:t>
      </w:r>
      <w:r w:rsidR="003701EB" w:rsidRPr="00437CBE">
        <w:t xml:space="preserve"> test is </w:t>
      </w:r>
      <w:r w:rsidR="003701EB">
        <w:t>typically applied in making a final determination</w:t>
      </w:r>
      <w:r w:rsidR="003701EB" w:rsidRPr="00437CBE">
        <w:t>.</w:t>
      </w:r>
      <w:r w:rsidR="003701EB">
        <w:t xml:space="preserve"> See Q 8606 for a discussion of the mat</w:t>
      </w:r>
      <w:r w:rsidR="00F83CC7">
        <w:t>erial participation requirement in the context of the passive activity rules.</w:t>
      </w:r>
    </w:p>
    <w:p w:rsidR="001674BD" w:rsidRDefault="001674BD" w:rsidP="001674BD">
      <w:pPr>
        <w:pStyle w:val="PA"/>
        <w:rPr>
          <w:szCs w:val="24"/>
        </w:rPr>
      </w:pPr>
      <w:r>
        <w:rPr>
          <w:szCs w:val="24"/>
        </w:rPr>
        <w:t xml:space="preserve">So, if a taxpayer materially participates in a trade or business, it is considered non-passive; and, thus, the income </w:t>
      </w:r>
      <w:r w:rsidR="003701EB">
        <w:rPr>
          <w:szCs w:val="24"/>
        </w:rPr>
        <w:t xml:space="preserve">described above </w:t>
      </w:r>
      <w:r>
        <w:rPr>
          <w:szCs w:val="24"/>
        </w:rPr>
        <w:t xml:space="preserve">would qualify for the exclusion.  As an important caveat, </w:t>
      </w:r>
      <w:r w:rsidR="003701EB">
        <w:rPr>
          <w:szCs w:val="24"/>
        </w:rPr>
        <w:t xml:space="preserve">even if the taxpayer participates in a trade or business, if the income from such business is </w:t>
      </w:r>
      <w:r w:rsidR="00F83CC7">
        <w:rPr>
          <w:szCs w:val="24"/>
        </w:rPr>
        <w:t>considered to be</w:t>
      </w:r>
      <w:r w:rsidR="003701EB">
        <w:rPr>
          <w:szCs w:val="24"/>
        </w:rPr>
        <w:t xml:space="preserve"> </w:t>
      </w:r>
      <w:r>
        <w:rPr>
          <w:szCs w:val="24"/>
        </w:rPr>
        <w:t>self-employment income</w:t>
      </w:r>
      <w:r w:rsidR="00F83CC7">
        <w:rPr>
          <w:szCs w:val="24"/>
        </w:rPr>
        <w:t xml:space="preserve">, </w:t>
      </w:r>
      <w:r w:rsidR="003701EB">
        <w:rPr>
          <w:szCs w:val="24"/>
        </w:rPr>
        <w:t>it can never</w:t>
      </w:r>
      <w:r>
        <w:rPr>
          <w:szCs w:val="24"/>
        </w:rPr>
        <w:t xml:space="preserve"> be considered net investment income.  Instead, such income is subject to Medicare tax and potenti</w:t>
      </w:r>
      <w:r w:rsidR="009975FC">
        <w:rPr>
          <w:szCs w:val="24"/>
        </w:rPr>
        <w:t xml:space="preserve">ally the Additional Medicare </w:t>
      </w:r>
      <w:r>
        <w:rPr>
          <w:szCs w:val="24"/>
        </w:rPr>
        <w:t>tax.</w:t>
      </w:r>
      <w:r>
        <w:rPr>
          <w:rStyle w:val="FootnoteReference"/>
        </w:rPr>
        <w:footnoteReference w:id="4"/>
      </w:r>
    </w:p>
    <w:p w:rsidR="002F4FFB" w:rsidRPr="002F4FFB" w:rsidRDefault="002F4FFB" w:rsidP="00536B8A">
      <w:r>
        <w:t>For a detailed discussion of the passive activity rules in general, see Q 8603 to Q 8612.</w:t>
      </w:r>
    </w:p>
    <w:p w:rsidR="002F4FFB" w:rsidRPr="002F4FFB" w:rsidRDefault="002F4FFB" w:rsidP="002F4FFB"/>
    <w:p w:rsidR="00D03E7C" w:rsidRPr="00304E84" w:rsidRDefault="00D03E7C" w:rsidP="00D03E7C">
      <w:pPr>
        <w:pStyle w:val="PA"/>
        <w:rPr>
          <w:b/>
        </w:rPr>
      </w:pPr>
      <w:r>
        <w:rPr>
          <w:b/>
        </w:rPr>
        <w:t>8567</w:t>
      </w:r>
      <w:r w:rsidRPr="00114C03">
        <w:rPr>
          <w:b/>
        </w:rPr>
        <w:t xml:space="preserve">.02 Can a taxpayer “group” multiple activities in order to meet the material participation test </w:t>
      </w:r>
      <w:r>
        <w:rPr>
          <w:b/>
        </w:rPr>
        <w:t>for purposes of the net income investment exclusion?</w:t>
      </w:r>
    </w:p>
    <w:p w:rsidR="00D03E7C" w:rsidRPr="00114C03" w:rsidRDefault="00D03E7C" w:rsidP="00D03E7C">
      <w:pPr>
        <w:pStyle w:val="PA"/>
      </w:pPr>
      <w:r>
        <w:t xml:space="preserve">Another way to meet the material participation test is to </w:t>
      </w:r>
      <w:r w:rsidRPr="00114C03">
        <w:t>“group” several activities into a single activity to meet the material participation test.  Under Treasury Regulation Section 1.469-4,</w:t>
      </w:r>
      <w:r w:rsidRPr="00114C03">
        <w:rPr>
          <w:vertAlign w:val="superscript"/>
        </w:rPr>
        <w:footnoteReference w:id="5"/>
      </w:r>
      <w:r w:rsidRPr="00114C03">
        <w:t xml:space="preserve"> one or more trade or business activities </w:t>
      </w:r>
      <w:r>
        <w:t xml:space="preserve">may be “grouped” and </w:t>
      </w:r>
      <w:r w:rsidRPr="00114C03">
        <w:t>treat</w:t>
      </w:r>
      <w:r>
        <w:t>ed</w:t>
      </w:r>
      <w:r w:rsidRPr="00114C03">
        <w:t xml:space="preserve"> as one economic unit </w:t>
      </w:r>
      <w:r>
        <w:t xml:space="preserve">for purposes of determining whether the taxpayer materially participated.  By doing so, the taxpayer’s participation for all the activities would be aggregated as if it was one activity.  </w:t>
      </w:r>
      <w:r w:rsidRPr="00114C03">
        <w:t xml:space="preserve"> </w:t>
      </w:r>
      <w:r>
        <w:t>Whether or not the</w:t>
      </w:r>
      <w:r w:rsidR="00340CB3">
        <w:t xml:space="preserve"> IRS will recognize grouped </w:t>
      </w:r>
      <w:r>
        <w:t xml:space="preserve">activities </w:t>
      </w:r>
      <w:r w:rsidR="00340CB3">
        <w:t xml:space="preserve">as </w:t>
      </w:r>
      <w:r>
        <w:t xml:space="preserve">a single economic unit is based on </w:t>
      </w:r>
      <w:r>
        <w:lastRenderedPageBreak/>
        <w:t xml:space="preserve">facts and circumstances.  </w:t>
      </w:r>
      <w:r w:rsidRPr="00114C03">
        <w:t xml:space="preserve">The following five factors are </w:t>
      </w:r>
      <w:r>
        <w:t xml:space="preserve">relevant </w:t>
      </w:r>
      <w:r w:rsidRPr="00114C03">
        <w:t xml:space="preserve">in determining whether </w:t>
      </w:r>
      <w:r>
        <w:t xml:space="preserve">such activities qualify to be treated as </w:t>
      </w:r>
      <w:r w:rsidRPr="00114C03">
        <w:t>a single economic unit:</w:t>
      </w:r>
      <w:r w:rsidRPr="00114C03">
        <w:rPr>
          <w:vertAlign w:val="superscript"/>
        </w:rPr>
        <w:footnoteReference w:id="6"/>
      </w:r>
      <w:r w:rsidRPr="00114C03">
        <w:t xml:space="preserve"> </w:t>
      </w:r>
    </w:p>
    <w:p w:rsidR="00D03E7C" w:rsidRPr="00114C03" w:rsidRDefault="00D03E7C" w:rsidP="00D03E7C">
      <w:pPr>
        <w:pStyle w:val="PA"/>
      </w:pPr>
      <w:r w:rsidRPr="00114C03">
        <w:t xml:space="preserve">(1) </w:t>
      </w:r>
      <w:proofErr w:type="gramStart"/>
      <w:r w:rsidRPr="00114C03">
        <w:t>similar</w:t>
      </w:r>
      <w:bookmarkStart w:id="0" w:name="_GoBack"/>
      <w:bookmarkEnd w:id="0"/>
      <w:r w:rsidRPr="00114C03">
        <w:t>ities</w:t>
      </w:r>
      <w:proofErr w:type="gramEnd"/>
      <w:r w:rsidRPr="00114C03">
        <w:t xml:space="preserve"> and differences in types of trades or businesses, </w:t>
      </w:r>
    </w:p>
    <w:p w:rsidR="00D03E7C" w:rsidRPr="00114C03" w:rsidRDefault="00D03E7C" w:rsidP="00D03E7C">
      <w:pPr>
        <w:pStyle w:val="PA"/>
      </w:pPr>
      <w:r w:rsidRPr="00114C03">
        <w:t xml:space="preserve">(2) </w:t>
      </w:r>
      <w:proofErr w:type="gramStart"/>
      <w:r w:rsidRPr="00114C03">
        <w:t>the</w:t>
      </w:r>
      <w:proofErr w:type="gramEnd"/>
      <w:r w:rsidRPr="00114C03">
        <w:t xml:space="preserve"> extent of common control, </w:t>
      </w:r>
    </w:p>
    <w:p w:rsidR="00D03E7C" w:rsidRPr="00114C03" w:rsidRDefault="00D03E7C" w:rsidP="00D03E7C">
      <w:pPr>
        <w:pStyle w:val="PA"/>
      </w:pPr>
      <w:r w:rsidRPr="00114C03">
        <w:t xml:space="preserve">(3) </w:t>
      </w:r>
      <w:proofErr w:type="gramStart"/>
      <w:r w:rsidRPr="00114C03">
        <w:t>the</w:t>
      </w:r>
      <w:proofErr w:type="gramEnd"/>
      <w:r w:rsidRPr="00114C03">
        <w:t xml:space="preserve"> extent of common ownership, </w:t>
      </w:r>
    </w:p>
    <w:p w:rsidR="00D03E7C" w:rsidRPr="00114C03" w:rsidRDefault="00D03E7C" w:rsidP="00D03E7C">
      <w:pPr>
        <w:pStyle w:val="PA"/>
      </w:pPr>
      <w:r w:rsidRPr="00114C03">
        <w:t xml:space="preserve">(4) </w:t>
      </w:r>
      <w:proofErr w:type="gramStart"/>
      <w:r w:rsidRPr="00114C03">
        <w:t>geographical</w:t>
      </w:r>
      <w:proofErr w:type="gramEnd"/>
      <w:r w:rsidRPr="00114C03">
        <w:t xml:space="preserve"> location and </w:t>
      </w:r>
    </w:p>
    <w:p w:rsidR="00D03E7C" w:rsidRPr="00114C03" w:rsidRDefault="00D03E7C" w:rsidP="00D03E7C">
      <w:pPr>
        <w:pStyle w:val="PA"/>
      </w:pPr>
      <w:r w:rsidRPr="00114C03">
        <w:t xml:space="preserve">(5) </w:t>
      </w:r>
      <w:proofErr w:type="gramStart"/>
      <w:r w:rsidRPr="00114C03">
        <w:t>interdependencies</w:t>
      </w:r>
      <w:proofErr w:type="gramEnd"/>
      <w:r w:rsidRPr="00114C03">
        <w:t xml:space="preserve"> between or among the activities.  </w:t>
      </w:r>
    </w:p>
    <w:p w:rsidR="00D03E7C" w:rsidRPr="00114C03" w:rsidRDefault="00D03E7C" w:rsidP="00D03E7C">
      <w:pPr>
        <w:pStyle w:val="PA"/>
      </w:pPr>
      <w:r w:rsidRPr="00114C03">
        <w:t>Once a taxpayer has grouped activities, the taxpayer is generally not permitted to regroup those activities in later tax years.</w:t>
      </w:r>
      <w:r w:rsidRPr="00114C03">
        <w:rPr>
          <w:vertAlign w:val="superscript"/>
        </w:rPr>
        <w:footnoteReference w:id="7"/>
      </w:r>
      <w:r w:rsidRPr="00114C03">
        <w:t xml:space="preserve">  See Q</w:t>
      </w:r>
      <w:r>
        <w:t xml:space="preserve"> </w:t>
      </w:r>
      <w:r w:rsidR="00340CB3">
        <w:t>8567</w:t>
      </w:r>
      <w:r w:rsidR="00F83CC7">
        <w:t xml:space="preserve">.03 for the </w:t>
      </w:r>
      <w:r w:rsidR="00264856">
        <w:t xml:space="preserve">limited </w:t>
      </w:r>
      <w:r w:rsidR="00F83CC7">
        <w:t>exception</w:t>
      </w:r>
      <w:r w:rsidRPr="00114C03">
        <w:t xml:space="preserve"> to this rule.</w:t>
      </w:r>
    </w:p>
    <w:p w:rsidR="00D03E7C" w:rsidRPr="00304E84" w:rsidRDefault="00340CB3" w:rsidP="00D03E7C">
      <w:pPr>
        <w:pStyle w:val="PA"/>
        <w:rPr>
          <w:b/>
        </w:rPr>
      </w:pPr>
      <w:r>
        <w:rPr>
          <w:b/>
        </w:rPr>
        <w:t>8567</w:t>
      </w:r>
      <w:r w:rsidR="00D03E7C" w:rsidRPr="00114C03">
        <w:rPr>
          <w:b/>
        </w:rPr>
        <w:t>.03 Can a taxpayer regroup activities after an initial grouping has already taken place?</w:t>
      </w:r>
    </w:p>
    <w:p w:rsidR="00D03E7C" w:rsidRDefault="00D03E7C" w:rsidP="00D03E7C">
      <w:pPr>
        <w:pStyle w:val="PA"/>
      </w:pPr>
      <w:r>
        <w:t xml:space="preserve">Obviously, the grouping rules </w:t>
      </w:r>
      <w:r w:rsidR="00F83CC7">
        <w:t xml:space="preserve">were the outgrowth of </w:t>
      </w:r>
      <w:r w:rsidR="00340CB3">
        <w:t xml:space="preserve">the passive activity income and loss rules </w:t>
      </w:r>
      <w:r w:rsidR="00F83CC7">
        <w:t xml:space="preserve">that </w:t>
      </w:r>
      <w:r>
        <w:t xml:space="preserve">far predate the enactment of the net investment income tax.  </w:t>
      </w:r>
      <w:r w:rsidR="00340CB3">
        <w:t xml:space="preserve">For the reason, </w:t>
      </w:r>
      <w:r w:rsidR="00264856">
        <w:t xml:space="preserve">allowing the taxpayer to regroup </w:t>
      </w:r>
      <w:r>
        <w:t xml:space="preserve">certain activities </w:t>
      </w:r>
      <w:r w:rsidR="00264856">
        <w:t xml:space="preserve">in view of </w:t>
      </w:r>
      <w:r w:rsidR="00340CB3">
        <w:t xml:space="preserve">net investment income tax considerations </w:t>
      </w:r>
      <w:r>
        <w:t xml:space="preserve">could potentially </w:t>
      </w:r>
      <w:r w:rsidR="00340CB3">
        <w:t>s</w:t>
      </w:r>
      <w:r>
        <w:t xml:space="preserve">ave a significant amount of tax.  </w:t>
      </w:r>
    </w:p>
    <w:p w:rsidR="00340CB3" w:rsidRDefault="00D03E7C" w:rsidP="00D03E7C">
      <w:pPr>
        <w:pStyle w:val="PA"/>
      </w:pPr>
      <w:r>
        <w:t>The final regulations provide a small window allowing such a regrouping.  In order to regroup,</w:t>
      </w:r>
    </w:p>
    <w:p w:rsidR="00340CB3" w:rsidRDefault="00D03E7C" w:rsidP="00340CB3">
      <w:pPr>
        <w:pStyle w:val="PA"/>
        <w:numPr>
          <w:ilvl w:val="0"/>
          <w:numId w:val="18"/>
        </w:numPr>
      </w:pPr>
      <w:r>
        <w:t>the regrouping must occur only in the first taxable year beginning after December 31, 2012</w:t>
      </w:r>
      <w:r w:rsidR="00340CB3">
        <w:t>; and</w:t>
      </w:r>
    </w:p>
    <w:p w:rsidR="00340CB3" w:rsidRDefault="00340CB3" w:rsidP="00340CB3">
      <w:pPr>
        <w:pStyle w:val="PA"/>
        <w:numPr>
          <w:ilvl w:val="0"/>
          <w:numId w:val="18"/>
        </w:numPr>
      </w:pPr>
      <w:proofErr w:type="gramStart"/>
      <w:r>
        <w:t>the</w:t>
      </w:r>
      <w:proofErr w:type="gramEnd"/>
      <w:r>
        <w:t xml:space="preserve"> regrouping taxpayer must be</w:t>
      </w:r>
      <w:r w:rsidR="00D03E7C">
        <w:t xml:space="preserve"> subject to net investment income during that year.  </w:t>
      </w:r>
    </w:p>
    <w:p w:rsidR="00D03E7C" w:rsidRDefault="00340CB3" w:rsidP="00340CB3">
      <w:pPr>
        <w:pStyle w:val="PA"/>
      </w:pPr>
      <w:r>
        <w:t xml:space="preserve">In other words, </w:t>
      </w:r>
      <w:r w:rsidR="007470F1">
        <w:t>regrouping is allo</w:t>
      </w:r>
      <w:r w:rsidR="00F83CC7">
        <w:t xml:space="preserve">wed only in </w:t>
      </w:r>
      <w:r w:rsidR="00264856">
        <w:t xml:space="preserve">the </w:t>
      </w:r>
      <w:r w:rsidR="00F83CC7">
        <w:t>one single tax year</w:t>
      </w:r>
      <w:r w:rsidR="00264856">
        <w:t xml:space="preserve"> reference</w:t>
      </w:r>
      <w:r w:rsidR="00536B8A">
        <w:t>d</w:t>
      </w:r>
      <w:r w:rsidR="00264856">
        <w:t xml:space="preserve"> </w:t>
      </w:r>
      <w:proofErr w:type="gramStart"/>
      <w:r w:rsidR="00264856">
        <w:t>above</w:t>
      </w:r>
      <w:r w:rsidR="00F83CC7">
        <w:t>,</w:t>
      </w:r>
      <w:proofErr w:type="gramEnd"/>
      <w:r w:rsidR="00F83CC7">
        <w:t xml:space="preserve"> and, </w:t>
      </w:r>
      <w:r w:rsidR="007470F1">
        <w:t xml:space="preserve">only if a taxpayer is subject to net investment income in that same year.  </w:t>
      </w:r>
      <w:r w:rsidR="00D03E7C">
        <w:t>Consequently, any taxpayer who is not subject to net investment income in that taxable year, but may be subject to it in a subsequent year, is not entitled to a “fresh start” regrouping.</w:t>
      </w:r>
      <w:r w:rsidR="00D03E7C" w:rsidRPr="00114C03">
        <w:rPr>
          <w:vertAlign w:val="superscript"/>
        </w:rPr>
        <w:footnoteReference w:id="8"/>
      </w:r>
    </w:p>
    <w:p w:rsidR="00D03E7C" w:rsidRDefault="00536B8A" w:rsidP="00D03E7C">
      <w:pPr>
        <w:pStyle w:val="PA"/>
      </w:pPr>
      <w:r w:rsidRPr="00536B8A">
        <w:rPr>
          <w:b/>
        </w:rPr>
        <w:t>Planning Point</w:t>
      </w:r>
      <w:r>
        <w:t>: I</w:t>
      </w:r>
      <w:r w:rsidR="007470F1">
        <w:t xml:space="preserve">n drafting the final regulations, </w:t>
      </w:r>
      <w:r w:rsidR="00D03E7C">
        <w:t>the IRS refused to allow pass through entities such as S corporations and partnerships to regroup.  In declining to do so, the final regulations noted that taxpayers not subject to the net investment income tax for the taxable year beginning after December 31, 2012, would get the benefit of regrouping indirectly (i.e., by virtue of the pass through of income from those entities), that they would not be entitled to receive directly.</w:t>
      </w:r>
      <w:r w:rsidR="00D03E7C" w:rsidRPr="00114C03">
        <w:rPr>
          <w:vertAlign w:val="superscript"/>
        </w:rPr>
        <w:footnoteReference w:id="9"/>
      </w:r>
    </w:p>
    <w:p w:rsidR="00437CBE" w:rsidRDefault="007470F1" w:rsidP="00B611F0">
      <w:pPr>
        <w:pStyle w:val="PA"/>
        <w:rPr>
          <w:b/>
        </w:rPr>
      </w:pPr>
      <w:r>
        <w:t>For</w:t>
      </w:r>
      <w:r w:rsidR="00C00ED3">
        <w:t xml:space="preserve"> </w:t>
      </w:r>
      <w:r>
        <w:t xml:space="preserve">additional </w:t>
      </w:r>
      <w:r w:rsidR="00C00ED3">
        <w:t>discussion of the passive activity rules</w:t>
      </w:r>
      <w:r w:rsidR="004A7339">
        <w:t xml:space="preserve"> in general</w:t>
      </w:r>
      <w:r w:rsidR="00C00ED3">
        <w:t xml:space="preserve">, see </w:t>
      </w:r>
      <w:r w:rsidR="00C945AB">
        <w:t>Q 86</w:t>
      </w:r>
      <w:r w:rsidR="00A02913">
        <w:t xml:space="preserve">03 to </w:t>
      </w:r>
      <w:r w:rsidR="00C945AB">
        <w:t>Q 86</w:t>
      </w:r>
      <w:r w:rsidR="00A02913">
        <w:t>12</w:t>
      </w:r>
      <w:r w:rsidR="00C00ED3">
        <w:t>.</w:t>
      </w:r>
    </w:p>
    <w:p w:rsidR="00B611F0" w:rsidRPr="00B611F0" w:rsidRDefault="00B611F0" w:rsidP="00B611F0"/>
    <w:sectPr w:rsidR="00B611F0" w:rsidRPr="00B611F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38" w:rsidRDefault="003A5A38" w:rsidP="00536B05">
      <w:r>
        <w:separator/>
      </w:r>
    </w:p>
  </w:endnote>
  <w:endnote w:type="continuationSeparator" w:id="0">
    <w:p w:rsidR="003A5A38" w:rsidRDefault="003A5A38"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38" w:rsidRDefault="003A5A38" w:rsidP="00536B05">
      <w:r>
        <w:separator/>
      </w:r>
    </w:p>
  </w:footnote>
  <w:footnote w:type="continuationSeparator" w:id="0">
    <w:p w:rsidR="003A5A38" w:rsidRDefault="003A5A38" w:rsidP="00536B05">
      <w:r>
        <w:continuationSeparator/>
      </w:r>
    </w:p>
  </w:footnote>
  <w:footnote w:id="1">
    <w:p w:rsidR="006D3729" w:rsidRDefault="006D3729">
      <w:pPr>
        <w:pStyle w:val="FootnoteText"/>
      </w:pPr>
      <w:r>
        <w:rPr>
          <w:rStyle w:val="FootnoteReference"/>
        </w:rPr>
        <w:footnoteRef/>
      </w:r>
      <w:r>
        <w:t xml:space="preserve"> IRC Sec. 469.</w:t>
      </w:r>
    </w:p>
  </w:footnote>
  <w:footnote w:id="2">
    <w:p w:rsidR="00883F57" w:rsidRDefault="00883F57">
      <w:pPr>
        <w:pStyle w:val="FootnoteText"/>
      </w:pPr>
      <w:r>
        <w:rPr>
          <w:rStyle w:val="FootnoteReference"/>
        </w:rPr>
        <w:footnoteRef/>
      </w:r>
      <w:r>
        <w:t xml:space="preserve"> IRC Sec. </w:t>
      </w:r>
      <w:proofErr w:type="gramStart"/>
      <w:r>
        <w:t>1411(c</w:t>
      </w:r>
      <w:proofErr w:type="gramEnd"/>
      <w:r>
        <w:t xml:space="preserve">), </w:t>
      </w:r>
      <w:proofErr w:type="spellStart"/>
      <w:r>
        <w:t>Treas</w:t>
      </w:r>
      <w:proofErr w:type="spellEnd"/>
      <w:r>
        <w:t xml:space="preserve"> Reg. </w:t>
      </w:r>
      <w:r w:rsidR="00211DA0" w:rsidRPr="00B611F0">
        <w:t>§</w:t>
      </w:r>
      <w:r w:rsidR="00211DA0">
        <w:t>1.1411-5(b).</w:t>
      </w:r>
    </w:p>
  </w:footnote>
  <w:footnote w:id="3">
    <w:p w:rsidR="001674BD" w:rsidRPr="00B611F0" w:rsidRDefault="001674BD" w:rsidP="001674BD">
      <w:pPr>
        <w:pStyle w:val="PQ"/>
      </w:pPr>
      <w:r w:rsidRPr="00B611F0">
        <w:rPr>
          <w:rStyle w:val="FootnoteReference"/>
          <w:vertAlign w:val="baseline"/>
        </w:rPr>
        <w:footnoteRef/>
      </w:r>
      <w:r>
        <w:t>.IRC Sec. 469(c).</w:t>
      </w:r>
    </w:p>
  </w:footnote>
  <w:footnote w:id="4">
    <w:p w:rsidR="001674BD" w:rsidRDefault="001674BD" w:rsidP="001674BD">
      <w:pPr>
        <w:pStyle w:val="FootnoteText"/>
      </w:pPr>
      <w:r>
        <w:rPr>
          <w:rStyle w:val="FootnoteReference"/>
        </w:rPr>
        <w:footnoteRef/>
      </w:r>
      <w:r>
        <w:t xml:space="preserve"> </w:t>
      </w:r>
      <w:r>
        <w:rPr>
          <w:sz w:val="16"/>
          <w:szCs w:val="16"/>
        </w:rPr>
        <w:t>IRC Section 1411(c</w:t>
      </w:r>
      <w:proofErr w:type="gramStart"/>
      <w:r>
        <w:rPr>
          <w:sz w:val="16"/>
          <w:szCs w:val="16"/>
        </w:rPr>
        <w:t>)(</w:t>
      </w:r>
      <w:proofErr w:type="gramEnd"/>
      <w:r>
        <w:rPr>
          <w:sz w:val="16"/>
          <w:szCs w:val="16"/>
        </w:rPr>
        <w:t>6).</w:t>
      </w:r>
    </w:p>
  </w:footnote>
  <w:footnote w:id="5">
    <w:p w:rsidR="00D03E7C" w:rsidRPr="00BD07FD" w:rsidRDefault="00D03E7C" w:rsidP="00D03E7C">
      <w:pPr>
        <w:pStyle w:val="FootnoteText"/>
        <w:rPr>
          <w:rFonts w:ascii="Perpetua" w:hAnsi="Perpetua"/>
          <w:sz w:val="16"/>
          <w:szCs w:val="16"/>
        </w:rPr>
      </w:pPr>
      <w:r w:rsidRPr="00BD07FD">
        <w:rPr>
          <w:rStyle w:val="FootnoteReference"/>
          <w:rFonts w:ascii="Perpetua" w:hAnsi="Perpetua"/>
          <w:sz w:val="16"/>
          <w:szCs w:val="16"/>
        </w:rPr>
        <w:footnoteRef/>
      </w:r>
      <w:r w:rsidRPr="00BD07FD">
        <w:rPr>
          <w:rFonts w:ascii="Perpetua" w:hAnsi="Perpetua"/>
          <w:sz w:val="16"/>
          <w:szCs w:val="16"/>
        </w:rPr>
        <w:t xml:space="preserve"> </w:t>
      </w:r>
      <w:r>
        <w:rPr>
          <w:rFonts w:ascii="Perpetua" w:hAnsi="Perpetua"/>
          <w:sz w:val="16"/>
          <w:szCs w:val="16"/>
        </w:rPr>
        <w:t xml:space="preserve">Treas. </w:t>
      </w:r>
      <w:r w:rsidRPr="00BD07FD">
        <w:rPr>
          <w:rFonts w:ascii="Perpetua" w:hAnsi="Perpetua"/>
          <w:color w:val="262626"/>
          <w:sz w:val="16"/>
          <w:szCs w:val="16"/>
        </w:rPr>
        <w:t xml:space="preserve">Reg. </w:t>
      </w:r>
      <w:r w:rsidRPr="00BD07FD">
        <w:rPr>
          <w:rFonts w:ascii="Perpetua" w:hAnsi="Perpetua"/>
          <w:color w:val="000000"/>
          <w:sz w:val="16"/>
          <w:szCs w:val="16"/>
        </w:rPr>
        <w:t>§</w:t>
      </w:r>
      <w:r w:rsidRPr="00BD07FD">
        <w:rPr>
          <w:rFonts w:ascii="Perpetua" w:hAnsi="Perpetua"/>
          <w:color w:val="262626"/>
          <w:sz w:val="16"/>
          <w:szCs w:val="16"/>
        </w:rPr>
        <w:t>1.469-4.</w:t>
      </w:r>
    </w:p>
  </w:footnote>
  <w:footnote w:id="6">
    <w:p w:rsidR="00D03E7C" w:rsidRPr="00BD07FD" w:rsidRDefault="00D03E7C" w:rsidP="00D03E7C">
      <w:pPr>
        <w:pStyle w:val="FootnoteText"/>
        <w:contextualSpacing/>
        <w:rPr>
          <w:rFonts w:ascii="Perpetua" w:hAnsi="Perpetua"/>
          <w:sz w:val="16"/>
          <w:szCs w:val="16"/>
        </w:rPr>
      </w:pPr>
      <w:r w:rsidRPr="00BD07FD">
        <w:rPr>
          <w:rStyle w:val="FootnoteReference"/>
          <w:rFonts w:ascii="Perpetua" w:hAnsi="Perpetua"/>
          <w:sz w:val="16"/>
          <w:szCs w:val="16"/>
        </w:rPr>
        <w:footnoteRef/>
      </w:r>
      <w:r w:rsidRPr="00BD07FD">
        <w:rPr>
          <w:rFonts w:ascii="Perpetua" w:hAnsi="Perpetua"/>
          <w:sz w:val="16"/>
          <w:szCs w:val="16"/>
        </w:rPr>
        <w:t xml:space="preserve"> </w:t>
      </w:r>
      <w:r>
        <w:rPr>
          <w:rFonts w:ascii="Perpetua" w:hAnsi="Perpetua"/>
          <w:sz w:val="16"/>
          <w:szCs w:val="16"/>
        </w:rPr>
        <w:t xml:space="preserve">Treas. </w:t>
      </w:r>
      <w:proofErr w:type="spellStart"/>
      <w:r w:rsidRPr="00BD07FD">
        <w:rPr>
          <w:rFonts w:ascii="Perpetua" w:hAnsi="Perpetua"/>
          <w:sz w:val="16"/>
          <w:szCs w:val="16"/>
        </w:rPr>
        <w:t>Reg</w:t>
      </w:r>
      <w:r>
        <w:rPr>
          <w:rFonts w:ascii="Perpetua" w:hAnsi="Perpetua"/>
          <w:sz w:val="16"/>
          <w:szCs w:val="16"/>
        </w:rPr>
        <w:t>s</w:t>
      </w:r>
      <w:proofErr w:type="spellEnd"/>
      <w:r w:rsidRPr="00BD07FD">
        <w:rPr>
          <w:rFonts w:ascii="Perpetua" w:hAnsi="Perpetua"/>
          <w:sz w:val="16"/>
          <w:szCs w:val="16"/>
        </w:rPr>
        <w:t xml:space="preserve">. </w:t>
      </w:r>
      <w:r w:rsidRPr="00BD07FD">
        <w:rPr>
          <w:rFonts w:ascii="Perpetua" w:hAnsi="Perpetua"/>
          <w:color w:val="000000"/>
          <w:sz w:val="16"/>
          <w:szCs w:val="16"/>
        </w:rPr>
        <w:t>§§</w:t>
      </w:r>
      <w:r w:rsidRPr="00BD07FD">
        <w:rPr>
          <w:rFonts w:ascii="Perpetua" w:hAnsi="Perpetua"/>
          <w:sz w:val="16"/>
          <w:szCs w:val="16"/>
        </w:rPr>
        <w:t>1.469-4(c</w:t>
      </w:r>
      <w:proofErr w:type="gramStart"/>
      <w:r w:rsidRPr="00BD07FD">
        <w:rPr>
          <w:rFonts w:ascii="Perpetua" w:hAnsi="Perpetua"/>
          <w:sz w:val="16"/>
          <w:szCs w:val="16"/>
        </w:rPr>
        <w:t>)(</w:t>
      </w:r>
      <w:proofErr w:type="gramEnd"/>
      <w:r w:rsidRPr="00BD07FD">
        <w:rPr>
          <w:rFonts w:ascii="Perpetua" w:hAnsi="Perpetua"/>
          <w:sz w:val="16"/>
          <w:szCs w:val="16"/>
        </w:rPr>
        <w:t>1)</w:t>
      </w:r>
      <w:r>
        <w:rPr>
          <w:rFonts w:ascii="Perpetua" w:hAnsi="Perpetua"/>
          <w:sz w:val="16"/>
          <w:szCs w:val="16"/>
        </w:rPr>
        <w:t xml:space="preserve">, </w:t>
      </w:r>
      <w:r w:rsidRPr="00BD07FD">
        <w:rPr>
          <w:rFonts w:ascii="Perpetua" w:hAnsi="Perpetua"/>
          <w:sz w:val="16"/>
          <w:szCs w:val="16"/>
        </w:rPr>
        <w:t>1.469-4(c)(2).</w:t>
      </w:r>
    </w:p>
  </w:footnote>
  <w:footnote w:id="7">
    <w:p w:rsidR="00D03E7C" w:rsidRPr="00BD07FD" w:rsidRDefault="00D03E7C" w:rsidP="00D03E7C">
      <w:pPr>
        <w:pStyle w:val="FootnoteText"/>
        <w:contextualSpacing/>
        <w:rPr>
          <w:rFonts w:ascii="Perpetua" w:hAnsi="Perpetua"/>
          <w:sz w:val="16"/>
          <w:szCs w:val="16"/>
        </w:rPr>
      </w:pPr>
      <w:r w:rsidRPr="00BD07FD">
        <w:rPr>
          <w:rStyle w:val="FootnoteReference"/>
          <w:rFonts w:ascii="Perpetua" w:hAnsi="Perpetua"/>
          <w:sz w:val="16"/>
          <w:szCs w:val="16"/>
        </w:rPr>
        <w:footnoteRef/>
      </w:r>
      <w:r w:rsidRPr="00BD07FD">
        <w:rPr>
          <w:rFonts w:ascii="Perpetua" w:hAnsi="Perpetua"/>
          <w:sz w:val="16"/>
          <w:szCs w:val="16"/>
        </w:rPr>
        <w:t xml:space="preserve"> </w:t>
      </w:r>
      <w:r>
        <w:rPr>
          <w:rFonts w:ascii="Perpetua" w:hAnsi="Perpetua"/>
          <w:sz w:val="16"/>
          <w:szCs w:val="16"/>
        </w:rPr>
        <w:t xml:space="preserve">Treas. </w:t>
      </w:r>
      <w:r w:rsidRPr="00BD07FD">
        <w:rPr>
          <w:rFonts w:ascii="Perpetua" w:hAnsi="Perpetua"/>
          <w:color w:val="262626"/>
          <w:sz w:val="16"/>
          <w:szCs w:val="16"/>
        </w:rPr>
        <w:t xml:space="preserve">Reg. </w:t>
      </w:r>
      <w:r w:rsidRPr="00BD07FD">
        <w:rPr>
          <w:rFonts w:ascii="Perpetua" w:hAnsi="Perpetua"/>
          <w:color w:val="000000"/>
          <w:sz w:val="16"/>
          <w:szCs w:val="16"/>
        </w:rPr>
        <w:t>§</w:t>
      </w:r>
      <w:r w:rsidRPr="00BD07FD">
        <w:rPr>
          <w:rFonts w:ascii="Perpetua" w:hAnsi="Perpetua"/>
          <w:color w:val="262626"/>
          <w:sz w:val="16"/>
          <w:szCs w:val="16"/>
        </w:rPr>
        <w:t>1.469-4(e</w:t>
      </w:r>
      <w:proofErr w:type="gramStart"/>
      <w:r w:rsidRPr="00BD07FD">
        <w:rPr>
          <w:rFonts w:ascii="Perpetua" w:hAnsi="Perpetua"/>
          <w:color w:val="262626"/>
          <w:sz w:val="16"/>
          <w:szCs w:val="16"/>
        </w:rPr>
        <w:t>)(</w:t>
      </w:r>
      <w:proofErr w:type="gramEnd"/>
      <w:r w:rsidRPr="00BD07FD">
        <w:rPr>
          <w:rFonts w:ascii="Perpetua" w:hAnsi="Perpetua"/>
          <w:color w:val="262626"/>
          <w:sz w:val="16"/>
          <w:szCs w:val="16"/>
        </w:rPr>
        <w:t>1).</w:t>
      </w:r>
    </w:p>
  </w:footnote>
  <w:footnote w:id="8">
    <w:p w:rsidR="00D03E7C" w:rsidRPr="00BD07FD" w:rsidRDefault="00D03E7C" w:rsidP="00D03E7C">
      <w:pPr>
        <w:pStyle w:val="FootnoteText"/>
        <w:rPr>
          <w:rFonts w:ascii="Perpetua" w:hAnsi="Perpetua"/>
          <w:sz w:val="16"/>
          <w:szCs w:val="16"/>
        </w:rPr>
      </w:pPr>
      <w:r w:rsidRPr="00BD07FD">
        <w:rPr>
          <w:rStyle w:val="FootnoteReference"/>
          <w:rFonts w:ascii="Perpetua" w:hAnsi="Perpetua"/>
          <w:sz w:val="16"/>
          <w:szCs w:val="16"/>
        </w:rPr>
        <w:footnoteRef/>
      </w:r>
      <w:r w:rsidRPr="00BD07FD">
        <w:rPr>
          <w:rFonts w:ascii="Perpetua" w:hAnsi="Perpetua"/>
          <w:sz w:val="16"/>
          <w:szCs w:val="16"/>
        </w:rPr>
        <w:t xml:space="preserve">  Preamble to Final Regulations, 78 Fed. Reg. 72396.  </w:t>
      </w:r>
    </w:p>
  </w:footnote>
  <w:footnote w:id="9">
    <w:p w:rsidR="00D03E7C" w:rsidRPr="00BD07FD" w:rsidRDefault="00D03E7C" w:rsidP="00D03E7C">
      <w:pPr>
        <w:pStyle w:val="FootnoteText"/>
        <w:rPr>
          <w:rFonts w:ascii="Perpetua" w:hAnsi="Perpetua"/>
          <w:sz w:val="16"/>
          <w:szCs w:val="16"/>
        </w:rPr>
      </w:pPr>
      <w:r w:rsidRPr="00BD07FD">
        <w:rPr>
          <w:rStyle w:val="FootnoteReference"/>
          <w:rFonts w:ascii="Perpetua" w:hAnsi="Perpetua"/>
          <w:sz w:val="16"/>
          <w:szCs w:val="16"/>
        </w:rPr>
        <w:footnoteRef/>
      </w:r>
      <w:r w:rsidRPr="00BD07FD">
        <w:rPr>
          <w:rFonts w:ascii="Perpetua" w:hAnsi="Perpetua"/>
          <w:sz w:val="16"/>
          <w:szCs w:val="16"/>
        </w:rPr>
        <w:t xml:space="preserve">  Preamble to Final Regulations, 78 Fed. Reg. 72396.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B2CBE"/>
    <w:multiLevelType w:val="singleLevel"/>
    <w:tmpl w:val="0409000F"/>
    <w:lvl w:ilvl="0">
      <w:start w:val="1"/>
      <w:numFmt w:val="decimal"/>
      <w:lvlText w:val="%1."/>
      <w:lvlJc w:val="left"/>
      <w:pPr>
        <w:tabs>
          <w:tab w:val="num" w:pos="360"/>
        </w:tabs>
        <w:ind w:left="360" w:hanging="360"/>
      </w:pPr>
    </w:lvl>
  </w:abstractNum>
  <w:abstractNum w:abstractNumId="11">
    <w:nsid w:val="53D42534"/>
    <w:multiLevelType w:val="hybridMultilevel"/>
    <w:tmpl w:val="22BE1650"/>
    <w:lvl w:ilvl="0" w:tplc="2AA2F77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9"/>
  </w:num>
  <w:num w:numId="2">
    <w:abstractNumId w:val="15"/>
  </w:num>
  <w:num w:numId="3">
    <w:abstractNumId w:val="4"/>
  </w:num>
  <w:num w:numId="4">
    <w:abstractNumId w:val="7"/>
  </w:num>
  <w:num w:numId="5">
    <w:abstractNumId w:val="12"/>
  </w:num>
  <w:num w:numId="6">
    <w:abstractNumId w:val="3"/>
  </w:num>
  <w:num w:numId="7">
    <w:abstractNumId w:val="13"/>
  </w:num>
  <w:num w:numId="8">
    <w:abstractNumId w:val="0"/>
  </w:num>
  <w:num w:numId="9">
    <w:abstractNumId w:val="6"/>
  </w:num>
  <w:num w:numId="10">
    <w:abstractNumId w:val="17"/>
  </w:num>
  <w:num w:numId="11">
    <w:abstractNumId w:val="5"/>
  </w:num>
  <w:num w:numId="12">
    <w:abstractNumId w:val="10"/>
  </w:num>
  <w:num w:numId="13">
    <w:abstractNumId w:val="1"/>
  </w:num>
  <w:num w:numId="14">
    <w:abstractNumId w:val="2"/>
  </w:num>
  <w:num w:numId="15">
    <w:abstractNumId w:val="14"/>
  </w:num>
  <w:num w:numId="16">
    <w:abstractNumId w:val="16"/>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12D94"/>
    <w:rsid w:val="00025E46"/>
    <w:rsid w:val="0003025A"/>
    <w:rsid w:val="00033E38"/>
    <w:rsid w:val="00060618"/>
    <w:rsid w:val="00065361"/>
    <w:rsid w:val="00094E50"/>
    <w:rsid w:val="000A37F8"/>
    <w:rsid w:val="000C1C63"/>
    <w:rsid w:val="000D179D"/>
    <w:rsid w:val="000D7E02"/>
    <w:rsid w:val="00114A17"/>
    <w:rsid w:val="00114F7E"/>
    <w:rsid w:val="0011643A"/>
    <w:rsid w:val="00133EA9"/>
    <w:rsid w:val="00166A3D"/>
    <w:rsid w:val="001674BD"/>
    <w:rsid w:val="001A5CC6"/>
    <w:rsid w:val="001B44DB"/>
    <w:rsid w:val="001C2D8B"/>
    <w:rsid w:val="001D533C"/>
    <w:rsid w:val="001E59F3"/>
    <w:rsid w:val="001F1994"/>
    <w:rsid w:val="001F52F4"/>
    <w:rsid w:val="00211DA0"/>
    <w:rsid w:val="00236EBA"/>
    <w:rsid w:val="00257104"/>
    <w:rsid w:val="00264856"/>
    <w:rsid w:val="00267E98"/>
    <w:rsid w:val="00271A21"/>
    <w:rsid w:val="00282D04"/>
    <w:rsid w:val="0028552C"/>
    <w:rsid w:val="00296983"/>
    <w:rsid w:val="002B3FE0"/>
    <w:rsid w:val="002C7FE6"/>
    <w:rsid w:val="002F4FFB"/>
    <w:rsid w:val="00307615"/>
    <w:rsid w:val="003136E3"/>
    <w:rsid w:val="00317415"/>
    <w:rsid w:val="00340CB3"/>
    <w:rsid w:val="00365BC3"/>
    <w:rsid w:val="003701EB"/>
    <w:rsid w:val="00375F18"/>
    <w:rsid w:val="003A5A38"/>
    <w:rsid w:val="003F5AA4"/>
    <w:rsid w:val="00411122"/>
    <w:rsid w:val="00424FBB"/>
    <w:rsid w:val="00425A88"/>
    <w:rsid w:val="00437CBE"/>
    <w:rsid w:val="00455D1D"/>
    <w:rsid w:val="004676D5"/>
    <w:rsid w:val="004A4C0D"/>
    <w:rsid w:val="004A7339"/>
    <w:rsid w:val="004B1350"/>
    <w:rsid w:val="004F1F2A"/>
    <w:rsid w:val="004F6C3F"/>
    <w:rsid w:val="00516BDA"/>
    <w:rsid w:val="00536354"/>
    <w:rsid w:val="00536B05"/>
    <w:rsid w:val="00536B8A"/>
    <w:rsid w:val="0055218C"/>
    <w:rsid w:val="00554AC7"/>
    <w:rsid w:val="0055609B"/>
    <w:rsid w:val="00556438"/>
    <w:rsid w:val="0059765D"/>
    <w:rsid w:val="005C50ED"/>
    <w:rsid w:val="005F747A"/>
    <w:rsid w:val="005F7C9B"/>
    <w:rsid w:val="00623E77"/>
    <w:rsid w:val="0062578C"/>
    <w:rsid w:val="006656BE"/>
    <w:rsid w:val="006A0822"/>
    <w:rsid w:val="006A2941"/>
    <w:rsid w:val="006B29BA"/>
    <w:rsid w:val="006D3729"/>
    <w:rsid w:val="006F4200"/>
    <w:rsid w:val="006F4885"/>
    <w:rsid w:val="006F57B2"/>
    <w:rsid w:val="007304AC"/>
    <w:rsid w:val="00746177"/>
    <w:rsid w:val="007470F1"/>
    <w:rsid w:val="00777AF6"/>
    <w:rsid w:val="007810D5"/>
    <w:rsid w:val="007948D7"/>
    <w:rsid w:val="007B0BC4"/>
    <w:rsid w:val="007C1E0C"/>
    <w:rsid w:val="007C6582"/>
    <w:rsid w:val="007D73C8"/>
    <w:rsid w:val="007D7788"/>
    <w:rsid w:val="007E5AFD"/>
    <w:rsid w:val="007F000B"/>
    <w:rsid w:val="00801263"/>
    <w:rsid w:val="00853ACB"/>
    <w:rsid w:val="00856358"/>
    <w:rsid w:val="00883F57"/>
    <w:rsid w:val="008B16D5"/>
    <w:rsid w:val="008B183A"/>
    <w:rsid w:val="008E3951"/>
    <w:rsid w:val="00917D5C"/>
    <w:rsid w:val="0093676A"/>
    <w:rsid w:val="00994A42"/>
    <w:rsid w:val="009975FC"/>
    <w:rsid w:val="009B2364"/>
    <w:rsid w:val="00A02913"/>
    <w:rsid w:val="00A02AF1"/>
    <w:rsid w:val="00A06D94"/>
    <w:rsid w:val="00A153DC"/>
    <w:rsid w:val="00A22ABD"/>
    <w:rsid w:val="00A43D8E"/>
    <w:rsid w:val="00A56136"/>
    <w:rsid w:val="00A804B9"/>
    <w:rsid w:val="00A922D5"/>
    <w:rsid w:val="00B20DC7"/>
    <w:rsid w:val="00B54D5F"/>
    <w:rsid w:val="00B611F0"/>
    <w:rsid w:val="00B671BC"/>
    <w:rsid w:val="00B952C4"/>
    <w:rsid w:val="00BA5395"/>
    <w:rsid w:val="00BE5482"/>
    <w:rsid w:val="00C00ED3"/>
    <w:rsid w:val="00C107DC"/>
    <w:rsid w:val="00C24A9B"/>
    <w:rsid w:val="00C7171A"/>
    <w:rsid w:val="00C945AB"/>
    <w:rsid w:val="00CB5DE6"/>
    <w:rsid w:val="00D0255A"/>
    <w:rsid w:val="00D03E7C"/>
    <w:rsid w:val="00D279A1"/>
    <w:rsid w:val="00D34A75"/>
    <w:rsid w:val="00D63101"/>
    <w:rsid w:val="00D655FB"/>
    <w:rsid w:val="00D81626"/>
    <w:rsid w:val="00D97308"/>
    <w:rsid w:val="00DD2422"/>
    <w:rsid w:val="00DD76A5"/>
    <w:rsid w:val="00DF18F4"/>
    <w:rsid w:val="00E019D6"/>
    <w:rsid w:val="00E26FDA"/>
    <w:rsid w:val="00E43458"/>
    <w:rsid w:val="00E604DB"/>
    <w:rsid w:val="00E64400"/>
    <w:rsid w:val="00E76CBA"/>
    <w:rsid w:val="00E8050C"/>
    <w:rsid w:val="00E94F6A"/>
    <w:rsid w:val="00EA088C"/>
    <w:rsid w:val="00EE7BE5"/>
    <w:rsid w:val="00EF384A"/>
    <w:rsid w:val="00F22DA6"/>
    <w:rsid w:val="00F43D0A"/>
    <w:rsid w:val="00F50160"/>
    <w:rsid w:val="00F5790C"/>
    <w:rsid w:val="00F77101"/>
    <w:rsid w:val="00F83CC7"/>
    <w:rsid w:val="00F97395"/>
    <w:rsid w:val="00FE1161"/>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25A88"/>
    <w:rPr>
      <w:rFonts w:ascii="Perpetua Std" w:hAnsi="Perpetua Std"/>
    </w:rPr>
  </w:style>
  <w:style w:type="paragraph" w:styleId="Heading1">
    <w:name w:val="heading 1"/>
    <w:basedOn w:val="Normal"/>
    <w:next w:val="Normal"/>
    <w:link w:val="Heading1Char"/>
    <w:qFormat/>
    <w:rsid w:val="00425A88"/>
    <w:pPr>
      <w:keepNext/>
      <w:outlineLvl w:val="0"/>
    </w:pPr>
    <w:rPr>
      <w:b/>
    </w:rPr>
  </w:style>
  <w:style w:type="paragraph" w:styleId="Heading2">
    <w:name w:val="heading 2"/>
    <w:basedOn w:val="Normal"/>
    <w:next w:val="Normal"/>
    <w:link w:val="Heading2Char"/>
    <w:qFormat/>
    <w:rsid w:val="00425A88"/>
    <w:pPr>
      <w:keepNext/>
      <w:spacing w:before="240" w:after="60"/>
      <w:outlineLvl w:val="1"/>
    </w:pPr>
    <w:rPr>
      <w:rFonts w:ascii="Arial" w:hAnsi="Arial"/>
      <w:b/>
      <w:i/>
      <w:sz w:val="24"/>
    </w:rPr>
  </w:style>
  <w:style w:type="paragraph" w:styleId="Heading3">
    <w:name w:val="heading 3"/>
    <w:basedOn w:val="Normal"/>
    <w:next w:val="Normal"/>
    <w:link w:val="Heading3Char"/>
    <w:qFormat/>
    <w:rsid w:val="00425A8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425A88"/>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425A88"/>
    <w:rPr>
      <w:vertAlign w:val="superscript"/>
    </w:rPr>
  </w:style>
  <w:style w:type="paragraph" w:customStyle="1" w:styleId="PA">
    <w:name w:val="PA"/>
    <w:next w:val="Normal"/>
    <w:link w:val="PAChar"/>
    <w:rsid w:val="00425A88"/>
    <w:pPr>
      <w:spacing w:after="240"/>
      <w:ind w:firstLine="288"/>
      <w:jc w:val="both"/>
    </w:pPr>
    <w:rPr>
      <w:rFonts w:ascii="Perpetua Std" w:hAnsi="Perpetua Std"/>
      <w:color w:val="000000"/>
      <w:sz w:val="24"/>
    </w:rPr>
  </w:style>
  <w:style w:type="character" w:customStyle="1" w:styleId="PAChar">
    <w:name w:val="PA Char"/>
    <w:link w:val="PA"/>
    <w:rsid w:val="00425A88"/>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425A88"/>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425A88"/>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425A88"/>
    <w:pPr>
      <w:spacing w:before="144"/>
      <w:jc w:val="both"/>
    </w:pPr>
    <w:rPr>
      <w:noProof/>
    </w:rPr>
  </w:style>
  <w:style w:type="paragraph" w:customStyle="1" w:styleId="PB">
    <w:name w:val="PB"/>
    <w:rsid w:val="00425A88"/>
    <w:pPr>
      <w:spacing w:after="240"/>
      <w:jc w:val="both"/>
    </w:pPr>
    <w:rPr>
      <w:rFonts w:ascii="Perpetua Std" w:hAnsi="Perpetua Std"/>
      <w:color w:val="000000"/>
      <w:sz w:val="24"/>
    </w:rPr>
  </w:style>
  <w:style w:type="paragraph" w:customStyle="1" w:styleId="PC">
    <w:name w:val="PC"/>
    <w:rsid w:val="00425A88"/>
    <w:pPr>
      <w:tabs>
        <w:tab w:val="left" w:pos="720"/>
      </w:tabs>
      <w:spacing w:after="240"/>
      <w:ind w:left="720" w:hanging="360"/>
      <w:jc w:val="both"/>
    </w:pPr>
    <w:rPr>
      <w:rFonts w:ascii="Perpetua Std" w:hAnsi="Perpetua Std"/>
      <w:color w:val="000000"/>
      <w:sz w:val="24"/>
    </w:rPr>
  </w:style>
  <w:style w:type="paragraph" w:customStyle="1" w:styleId="PD">
    <w:name w:val="PD"/>
    <w:rsid w:val="00425A88"/>
    <w:pPr>
      <w:spacing w:after="240"/>
      <w:ind w:left="720" w:firstLine="288"/>
      <w:jc w:val="both"/>
    </w:pPr>
    <w:rPr>
      <w:rFonts w:ascii="Perpetua Std" w:hAnsi="Perpetua Std"/>
      <w:color w:val="000000"/>
      <w:sz w:val="24"/>
    </w:rPr>
  </w:style>
  <w:style w:type="paragraph" w:customStyle="1" w:styleId="PE">
    <w:name w:val="PE"/>
    <w:rsid w:val="00425A88"/>
    <w:pPr>
      <w:spacing w:after="240"/>
      <w:ind w:left="720"/>
      <w:jc w:val="both"/>
    </w:pPr>
    <w:rPr>
      <w:rFonts w:ascii="Perpetua Std" w:hAnsi="Perpetua Std"/>
      <w:color w:val="000000"/>
      <w:sz w:val="24"/>
    </w:rPr>
  </w:style>
  <w:style w:type="paragraph" w:customStyle="1" w:styleId="PF">
    <w:name w:val="PF"/>
    <w:rsid w:val="00425A88"/>
    <w:pPr>
      <w:tabs>
        <w:tab w:val="left" w:pos="1080"/>
      </w:tabs>
      <w:spacing w:after="240"/>
      <w:ind w:left="1080" w:hanging="360"/>
      <w:jc w:val="both"/>
    </w:pPr>
    <w:rPr>
      <w:rFonts w:ascii="Perpetua Std" w:hAnsi="Perpetua Std"/>
      <w:color w:val="000000"/>
      <w:sz w:val="24"/>
    </w:rPr>
  </w:style>
  <w:style w:type="paragraph" w:customStyle="1" w:styleId="PG">
    <w:name w:val="PG"/>
    <w:rsid w:val="00425A88"/>
    <w:pPr>
      <w:spacing w:after="240"/>
      <w:ind w:left="360"/>
      <w:jc w:val="both"/>
    </w:pPr>
    <w:rPr>
      <w:rFonts w:ascii="Perpetua Std" w:hAnsi="Perpetua Std"/>
      <w:color w:val="000000"/>
      <w:sz w:val="24"/>
    </w:rPr>
  </w:style>
  <w:style w:type="paragraph" w:customStyle="1" w:styleId="PH">
    <w:name w:val="PH"/>
    <w:rsid w:val="00425A88"/>
    <w:pPr>
      <w:tabs>
        <w:tab w:val="left" w:pos="360"/>
      </w:tabs>
      <w:spacing w:after="240"/>
      <w:ind w:left="360" w:hanging="360"/>
      <w:jc w:val="both"/>
    </w:pPr>
    <w:rPr>
      <w:rFonts w:ascii="Perpetua Std" w:hAnsi="Perpetua Std"/>
      <w:color w:val="000000"/>
      <w:sz w:val="24"/>
    </w:rPr>
  </w:style>
  <w:style w:type="paragraph" w:customStyle="1" w:styleId="PI">
    <w:name w:val="PI"/>
    <w:rsid w:val="00425A88"/>
    <w:pPr>
      <w:spacing w:after="240"/>
      <w:ind w:left="360" w:hanging="360"/>
      <w:jc w:val="both"/>
    </w:pPr>
    <w:rPr>
      <w:rFonts w:ascii="Perpetua Std" w:hAnsi="Perpetua Std"/>
      <w:color w:val="000000"/>
      <w:sz w:val="24"/>
    </w:rPr>
  </w:style>
  <w:style w:type="paragraph" w:customStyle="1" w:styleId="PK">
    <w:name w:val="PK"/>
    <w:rsid w:val="00425A88"/>
    <w:pPr>
      <w:spacing w:after="240"/>
      <w:ind w:left="360" w:firstLine="288"/>
      <w:jc w:val="both"/>
    </w:pPr>
    <w:rPr>
      <w:rFonts w:ascii="Perpetua Std" w:hAnsi="Perpetua Std"/>
      <w:color w:val="000000"/>
      <w:sz w:val="24"/>
    </w:rPr>
  </w:style>
  <w:style w:type="paragraph" w:customStyle="1" w:styleId="PL">
    <w:name w:val="PL"/>
    <w:rsid w:val="00425A8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25A88"/>
    <w:pPr>
      <w:spacing w:after="240"/>
      <w:ind w:left="432" w:right="432" w:firstLine="432"/>
      <w:jc w:val="both"/>
    </w:pPr>
    <w:rPr>
      <w:rFonts w:ascii="Minion Pro" w:hAnsi="Minion Pro"/>
    </w:rPr>
  </w:style>
  <w:style w:type="paragraph" w:customStyle="1" w:styleId="TOC">
    <w:name w:val="TOC"/>
    <w:autoRedefine/>
    <w:rsid w:val="00425A88"/>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425A88"/>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425A88"/>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25A88"/>
    <w:rPr>
      <w:rFonts w:ascii="Adobe Caslon Pro" w:hAnsi="Adobe Caslon Pro"/>
      <w:color w:val="000000"/>
      <w:sz w:val="14"/>
    </w:rPr>
  </w:style>
  <w:style w:type="paragraph" w:customStyle="1" w:styleId="HD">
    <w:name w:val="HD"/>
    <w:rsid w:val="00425A88"/>
    <w:pPr>
      <w:suppressAutoHyphens/>
      <w:spacing w:before="120"/>
      <w:jc w:val="center"/>
    </w:pPr>
    <w:rPr>
      <w:rFonts w:ascii="Helvetica LT Std" w:hAnsi="Helvetica LT Std"/>
      <w:sz w:val="26"/>
      <w:szCs w:val="18"/>
    </w:rPr>
  </w:style>
  <w:style w:type="paragraph" w:customStyle="1" w:styleId="PP">
    <w:name w:val="PP"/>
    <w:rsid w:val="00425A88"/>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425A88"/>
    <w:pPr>
      <w:spacing w:before="120" w:after="120"/>
      <w:jc w:val="center"/>
    </w:pPr>
    <w:rPr>
      <w:rFonts w:ascii="Helvetica LT Std" w:hAnsi="Helvetica LT Std"/>
      <w:sz w:val="24"/>
    </w:rPr>
  </w:style>
  <w:style w:type="paragraph" w:customStyle="1" w:styleId="PN">
    <w:name w:val="PN"/>
    <w:rsid w:val="00425A88"/>
    <w:pPr>
      <w:spacing w:after="240"/>
      <w:ind w:left="720" w:firstLine="288"/>
      <w:jc w:val="both"/>
    </w:pPr>
    <w:rPr>
      <w:rFonts w:ascii="Perpetua Std" w:eastAsia="MS Mincho" w:hAnsi="Perpetua Std"/>
      <w:color w:val="000000"/>
    </w:rPr>
  </w:style>
  <w:style w:type="table" w:styleId="TableGrid">
    <w:name w:val="Table Grid"/>
    <w:basedOn w:val="TableNormal"/>
    <w:rsid w:val="0042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425A88"/>
    <w:pPr>
      <w:spacing w:after="240"/>
      <w:jc w:val="center"/>
    </w:pPr>
    <w:rPr>
      <w:rFonts w:ascii="Helvetica LT Std" w:hAnsi="Helvetica LT Std"/>
      <w:b/>
      <w:caps/>
      <w:color w:val="000000"/>
      <w:sz w:val="36"/>
      <w:szCs w:val="32"/>
    </w:rPr>
  </w:style>
  <w:style w:type="paragraph" w:customStyle="1" w:styleId="HB">
    <w:name w:val="HB"/>
    <w:rsid w:val="00425A88"/>
    <w:pPr>
      <w:spacing w:before="120" w:after="240"/>
      <w:jc w:val="center"/>
    </w:pPr>
    <w:rPr>
      <w:rFonts w:ascii="Helvetica LT Std" w:hAnsi="Helvetica LT Std"/>
      <w:b/>
      <w:color w:val="5F5F5F"/>
      <w:w w:val="105"/>
      <w:sz w:val="32"/>
    </w:rPr>
  </w:style>
  <w:style w:type="paragraph" w:customStyle="1" w:styleId="HC">
    <w:name w:val="HC"/>
    <w:autoRedefine/>
    <w:rsid w:val="00425A88"/>
    <w:pPr>
      <w:tabs>
        <w:tab w:val="left" w:pos="284"/>
      </w:tabs>
      <w:spacing w:before="120" w:after="120"/>
      <w:jc w:val="center"/>
    </w:pPr>
    <w:rPr>
      <w:rFonts w:ascii="Helvetica LT Std" w:hAnsi="Helvetica LT Std"/>
      <w:b/>
      <w:color w:val="000000"/>
      <w:w w:val="110"/>
      <w:sz w:val="26"/>
    </w:rPr>
  </w:style>
  <w:style w:type="paragraph" w:customStyle="1" w:styleId="PR">
    <w:name w:val="PR"/>
    <w:rsid w:val="00425A88"/>
    <w:pPr>
      <w:spacing w:after="240"/>
      <w:ind w:left="360" w:firstLine="288"/>
      <w:jc w:val="both"/>
    </w:pPr>
    <w:rPr>
      <w:rFonts w:ascii="Adobe Caslon Pro" w:hAnsi="Adobe Caslon Pro"/>
      <w:color w:val="000000"/>
      <w:sz w:val="14"/>
    </w:rPr>
  </w:style>
  <w:style w:type="paragraph" w:customStyle="1" w:styleId="PO">
    <w:name w:val="PO"/>
    <w:rsid w:val="00425A88"/>
    <w:pPr>
      <w:spacing w:after="240"/>
      <w:jc w:val="both"/>
    </w:pPr>
    <w:rPr>
      <w:rFonts w:ascii="Perpetua Std" w:hAnsi="Perpetua Std"/>
      <w:color w:val="000000"/>
      <w:w w:val="95"/>
      <w:szCs w:val="16"/>
    </w:rPr>
  </w:style>
  <w:style w:type="paragraph" w:customStyle="1" w:styleId="GUIDEX">
    <w:name w:val="GUIDEX"/>
    <w:rsid w:val="00425A88"/>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25A88"/>
    <w:pPr>
      <w:tabs>
        <w:tab w:val="clear" w:pos="240"/>
        <w:tab w:val="clear" w:pos="480"/>
        <w:tab w:val="clear" w:pos="720"/>
        <w:tab w:val="right" w:pos="4680"/>
      </w:tabs>
    </w:pPr>
  </w:style>
  <w:style w:type="paragraph" w:customStyle="1" w:styleId="PCB">
    <w:name w:val="PCB"/>
    <w:autoRedefine/>
    <w:rsid w:val="00425A88"/>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425A88"/>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425A88"/>
    <w:rPr>
      <w:rFonts w:ascii="Perpetua Std" w:hAnsi="Perpetua Std"/>
    </w:rPr>
  </w:style>
  <w:style w:type="paragraph" w:styleId="NoSpacing">
    <w:name w:val="No Spacing"/>
    <w:qFormat/>
    <w:rsid w:val="00425A88"/>
    <w:rPr>
      <w:rFonts w:ascii="Perpetua" w:hAnsi="Perpetua"/>
    </w:rPr>
  </w:style>
  <w:style w:type="paragraph" w:customStyle="1" w:styleId="PCA">
    <w:name w:val="PCA"/>
    <w:rsid w:val="00425A88"/>
    <w:pPr>
      <w:numPr>
        <w:numId w:val="16"/>
      </w:numPr>
      <w:tabs>
        <w:tab w:val="left" w:pos="720"/>
      </w:tabs>
      <w:spacing w:after="240"/>
      <w:jc w:val="both"/>
    </w:pPr>
    <w:rPr>
      <w:rFonts w:ascii="Perpetua Std" w:hAnsi="Perpetua Std"/>
      <w:sz w:val="24"/>
    </w:rPr>
  </w:style>
  <w:style w:type="paragraph" w:customStyle="1" w:styleId="PHB">
    <w:name w:val="PHB"/>
    <w:rsid w:val="00425A88"/>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425A88"/>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25A88"/>
    <w:rPr>
      <w:rFonts w:ascii="Perpetua Std" w:hAnsi="Perpetua Std"/>
    </w:rPr>
  </w:style>
  <w:style w:type="paragraph" w:styleId="Heading1">
    <w:name w:val="heading 1"/>
    <w:basedOn w:val="Normal"/>
    <w:next w:val="Normal"/>
    <w:link w:val="Heading1Char"/>
    <w:qFormat/>
    <w:rsid w:val="00425A88"/>
    <w:pPr>
      <w:keepNext/>
      <w:outlineLvl w:val="0"/>
    </w:pPr>
    <w:rPr>
      <w:b/>
    </w:rPr>
  </w:style>
  <w:style w:type="paragraph" w:styleId="Heading2">
    <w:name w:val="heading 2"/>
    <w:basedOn w:val="Normal"/>
    <w:next w:val="Normal"/>
    <w:link w:val="Heading2Char"/>
    <w:qFormat/>
    <w:rsid w:val="00425A88"/>
    <w:pPr>
      <w:keepNext/>
      <w:spacing w:before="240" w:after="60"/>
      <w:outlineLvl w:val="1"/>
    </w:pPr>
    <w:rPr>
      <w:rFonts w:ascii="Arial" w:hAnsi="Arial"/>
      <w:b/>
      <w:i/>
      <w:sz w:val="24"/>
    </w:rPr>
  </w:style>
  <w:style w:type="paragraph" w:styleId="Heading3">
    <w:name w:val="heading 3"/>
    <w:basedOn w:val="Normal"/>
    <w:next w:val="Normal"/>
    <w:link w:val="Heading3Char"/>
    <w:qFormat/>
    <w:rsid w:val="00425A8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425A88"/>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425A88"/>
    <w:rPr>
      <w:vertAlign w:val="superscript"/>
    </w:rPr>
  </w:style>
  <w:style w:type="paragraph" w:customStyle="1" w:styleId="PA">
    <w:name w:val="PA"/>
    <w:next w:val="Normal"/>
    <w:link w:val="PAChar"/>
    <w:rsid w:val="00425A88"/>
    <w:pPr>
      <w:spacing w:after="240"/>
      <w:ind w:firstLine="288"/>
      <w:jc w:val="both"/>
    </w:pPr>
    <w:rPr>
      <w:rFonts w:ascii="Perpetua Std" w:hAnsi="Perpetua Std"/>
      <w:color w:val="000000"/>
      <w:sz w:val="24"/>
    </w:rPr>
  </w:style>
  <w:style w:type="character" w:customStyle="1" w:styleId="PAChar">
    <w:name w:val="PA Char"/>
    <w:link w:val="PA"/>
    <w:rsid w:val="00425A88"/>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425A88"/>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425A88"/>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425A88"/>
    <w:pPr>
      <w:spacing w:before="144"/>
      <w:jc w:val="both"/>
    </w:pPr>
    <w:rPr>
      <w:noProof/>
    </w:rPr>
  </w:style>
  <w:style w:type="paragraph" w:customStyle="1" w:styleId="PB">
    <w:name w:val="PB"/>
    <w:rsid w:val="00425A88"/>
    <w:pPr>
      <w:spacing w:after="240"/>
      <w:jc w:val="both"/>
    </w:pPr>
    <w:rPr>
      <w:rFonts w:ascii="Perpetua Std" w:hAnsi="Perpetua Std"/>
      <w:color w:val="000000"/>
      <w:sz w:val="24"/>
    </w:rPr>
  </w:style>
  <w:style w:type="paragraph" w:customStyle="1" w:styleId="PC">
    <w:name w:val="PC"/>
    <w:rsid w:val="00425A88"/>
    <w:pPr>
      <w:tabs>
        <w:tab w:val="left" w:pos="720"/>
      </w:tabs>
      <w:spacing w:after="240"/>
      <w:ind w:left="720" w:hanging="360"/>
      <w:jc w:val="both"/>
    </w:pPr>
    <w:rPr>
      <w:rFonts w:ascii="Perpetua Std" w:hAnsi="Perpetua Std"/>
      <w:color w:val="000000"/>
      <w:sz w:val="24"/>
    </w:rPr>
  </w:style>
  <w:style w:type="paragraph" w:customStyle="1" w:styleId="PD">
    <w:name w:val="PD"/>
    <w:rsid w:val="00425A88"/>
    <w:pPr>
      <w:spacing w:after="240"/>
      <w:ind w:left="720" w:firstLine="288"/>
      <w:jc w:val="both"/>
    </w:pPr>
    <w:rPr>
      <w:rFonts w:ascii="Perpetua Std" w:hAnsi="Perpetua Std"/>
      <w:color w:val="000000"/>
      <w:sz w:val="24"/>
    </w:rPr>
  </w:style>
  <w:style w:type="paragraph" w:customStyle="1" w:styleId="PE">
    <w:name w:val="PE"/>
    <w:rsid w:val="00425A88"/>
    <w:pPr>
      <w:spacing w:after="240"/>
      <w:ind w:left="720"/>
      <w:jc w:val="both"/>
    </w:pPr>
    <w:rPr>
      <w:rFonts w:ascii="Perpetua Std" w:hAnsi="Perpetua Std"/>
      <w:color w:val="000000"/>
      <w:sz w:val="24"/>
    </w:rPr>
  </w:style>
  <w:style w:type="paragraph" w:customStyle="1" w:styleId="PF">
    <w:name w:val="PF"/>
    <w:rsid w:val="00425A88"/>
    <w:pPr>
      <w:tabs>
        <w:tab w:val="left" w:pos="1080"/>
      </w:tabs>
      <w:spacing w:after="240"/>
      <w:ind w:left="1080" w:hanging="360"/>
      <w:jc w:val="both"/>
    </w:pPr>
    <w:rPr>
      <w:rFonts w:ascii="Perpetua Std" w:hAnsi="Perpetua Std"/>
      <w:color w:val="000000"/>
      <w:sz w:val="24"/>
    </w:rPr>
  </w:style>
  <w:style w:type="paragraph" w:customStyle="1" w:styleId="PG">
    <w:name w:val="PG"/>
    <w:rsid w:val="00425A88"/>
    <w:pPr>
      <w:spacing w:after="240"/>
      <w:ind w:left="360"/>
      <w:jc w:val="both"/>
    </w:pPr>
    <w:rPr>
      <w:rFonts w:ascii="Perpetua Std" w:hAnsi="Perpetua Std"/>
      <w:color w:val="000000"/>
      <w:sz w:val="24"/>
    </w:rPr>
  </w:style>
  <w:style w:type="paragraph" w:customStyle="1" w:styleId="PH">
    <w:name w:val="PH"/>
    <w:rsid w:val="00425A88"/>
    <w:pPr>
      <w:tabs>
        <w:tab w:val="left" w:pos="360"/>
      </w:tabs>
      <w:spacing w:after="240"/>
      <w:ind w:left="360" w:hanging="360"/>
      <w:jc w:val="both"/>
    </w:pPr>
    <w:rPr>
      <w:rFonts w:ascii="Perpetua Std" w:hAnsi="Perpetua Std"/>
      <w:color w:val="000000"/>
      <w:sz w:val="24"/>
    </w:rPr>
  </w:style>
  <w:style w:type="paragraph" w:customStyle="1" w:styleId="PI">
    <w:name w:val="PI"/>
    <w:rsid w:val="00425A88"/>
    <w:pPr>
      <w:spacing w:after="240"/>
      <w:ind w:left="360" w:hanging="360"/>
      <w:jc w:val="both"/>
    </w:pPr>
    <w:rPr>
      <w:rFonts w:ascii="Perpetua Std" w:hAnsi="Perpetua Std"/>
      <w:color w:val="000000"/>
      <w:sz w:val="24"/>
    </w:rPr>
  </w:style>
  <w:style w:type="paragraph" w:customStyle="1" w:styleId="PK">
    <w:name w:val="PK"/>
    <w:rsid w:val="00425A88"/>
    <w:pPr>
      <w:spacing w:after="240"/>
      <w:ind w:left="360" w:firstLine="288"/>
      <w:jc w:val="both"/>
    </w:pPr>
    <w:rPr>
      <w:rFonts w:ascii="Perpetua Std" w:hAnsi="Perpetua Std"/>
      <w:color w:val="000000"/>
      <w:sz w:val="24"/>
    </w:rPr>
  </w:style>
  <w:style w:type="paragraph" w:customStyle="1" w:styleId="PL">
    <w:name w:val="PL"/>
    <w:rsid w:val="00425A8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25A88"/>
    <w:pPr>
      <w:spacing w:after="240"/>
      <w:ind w:left="432" w:right="432" w:firstLine="432"/>
      <w:jc w:val="both"/>
    </w:pPr>
    <w:rPr>
      <w:rFonts w:ascii="Minion Pro" w:hAnsi="Minion Pro"/>
    </w:rPr>
  </w:style>
  <w:style w:type="paragraph" w:customStyle="1" w:styleId="TOC">
    <w:name w:val="TOC"/>
    <w:autoRedefine/>
    <w:rsid w:val="00425A88"/>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425A88"/>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425A88"/>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25A88"/>
    <w:rPr>
      <w:rFonts w:ascii="Adobe Caslon Pro" w:hAnsi="Adobe Caslon Pro"/>
      <w:color w:val="000000"/>
      <w:sz w:val="14"/>
    </w:rPr>
  </w:style>
  <w:style w:type="paragraph" w:customStyle="1" w:styleId="HD">
    <w:name w:val="HD"/>
    <w:rsid w:val="00425A88"/>
    <w:pPr>
      <w:suppressAutoHyphens/>
      <w:spacing w:before="120"/>
      <w:jc w:val="center"/>
    </w:pPr>
    <w:rPr>
      <w:rFonts w:ascii="Helvetica LT Std" w:hAnsi="Helvetica LT Std"/>
      <w:sz w:val="26"/>
      <w:szCs w:val="18"/>
    </w:rPr>
  </w:style>
  <w:style w:type="paragraph" w:customStyle="1" w:styleId="PP">
    <w:name w:val="PP"/>
    <w:rsid w:val="00425A88"/>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425A88"/>
    <w:pPr>
      <w:spacing w:before="120" w:after="120"/>
      <w:jc w:val="center"/>
    </w:pPr>
    <w:rPr>
      <w:rFonts w:ascii="Helvetica LT Std" w:hAnsi="Helvetica LT Std"/>
      <w:sz w:val="24"/>
    </w:rPr>
  </w:style>
  <w:style w:type="paragraph" w:customStyle="1" w:styleId="PN">
    <w:name w:val="PN"/>
    <w:rsid w:val="00425A88"/>
    <w:pPr>
      <w:spacing w:after="240"/>
      <w:ind w:left="720" w:firstLine="288"/>
      <w:jc w:val="both"/>
    </w:pPr>
    <w:rPr>
      <w:rFonts w:ascii="Perpetua Std" w:eastAsia="MS Mincho" w:hAnsi="Perpetua Std"/>
      <w:color w:val="000000"/>
    </w:rPr>
  </w:style>
  <w:style w:type="table" w:styleId="TableGrid">
    <w:name w:val="Table Grid"/>
    <w:basedOn w:val="TableNormal"/>
    <w:rsid w:val="0042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425A88"/>
    <w:pPr>
      <w:spacing w:after="240"/>
      <w:jc w:val="center"/>
    </w:pPr>
    <w:rPr>
      <w:rFonts w:ascii="Helvetica LT Std" w:hAnsi="Helvetica LT Std"/>
      <w:b/>
      <w:caps/>
      <w:color w:val="000000"/>
      <w:sz w:val="36"/>
      <w:szCs w:val="32"/>
    </w:rPr>
  </w:style>
  <w:style w:type="paragraph" w:customStyle="1" w:styleId="HB">
    <w:name w:val="HB"/>
    <w:rsid w:val="00425A88"/>
    <w:pPr>
      <w:spacing w:before="120" w:after="240"/>
      <w:jc w:val="center"/>
    </w:pPr>
    <w:rPr>
      <w:rFonts w:ascii="Helvetica LT Std" w:hAnsi="Helvetica LT Std"/>
      <w:b/>
      <w:color w:val="5F5F5F"/>
      <w:w w:val="105"/>
      <w:sz w:val="32"/>
    </w:rPr>
  </w:style>
  <w:style w:type="paragraph" w:customStyle="1" w:styleId="HC">
    <w:name w:val="HC"/>
    <w:autoRedefine/>
    <w:rsid w:val="00425A88"/>
    <w:pPr>
      <w:tabs>
        <w:tab w:val="left" w:pos="284"/>
      </w:tabs>
      <w:spacing w:before="120" w:after="120"/>
      <w:jc w:val="center"/>
    </w:pPr>
    <w:rPr>
      <w:rFonts w:ascii="Helvetica LT Std" w:hAnsi="Helvetica LT Std"/>
      <w:b/>
      <w:color w:val="000000"/>
      <w:w w:val="110"/>
      <w:sz w:val="26"/>
    </w:rPr>
  </w:style>
  <w:style w:type="paragraph" w:customStyle="1" w:styleId="PR">
    <w:name w:val="PR"/>
    <w:rsid w:val="00425A88"/>
    <w:pPr>
      <w:spacing w:after="240"/>
      <w:ind w:left="360" w:firstLine="288"/>
      <w:jc w:val="both"/>
    </w:pPr>
    <w:rPr>
      <w:rFonts w:ascii="Adobe Caslon Pro" w:hAnsi="Adobe Caslon Pro"/>
      <w:color w:val="000000"/>
      <w:sz w:val="14"/>
    </w:rPr>
  </w:style>
  <w:style w:type="paragraph" w:customStyle="1" w:styleId="PO">
    <w:name w:val="PO"/>
    <w:rsid w:val="00425A88"/>
    <w:pPr>
      <w:spacing w:after="240"/>
      <w:jc w:val="both"/>
    </w:pPr>
    <w:rPr>
      <w:rFonts w:ascii="Perpetua Std" w:hAnsi="Perpetua Std"/>
      <w:color w:val="000000"/>
      <w:w w:val="95"/>
      <w:szCs w:val="16"/>
    </w:rPr>
  </w:style>
  <w:style w:type="paragraph" w:customStyle="1" w:styleId="GUIDEX">
    <w:name w:val="GUIDEX"/>
    <w:rsid w:val="00425A88"/>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25A88"/>
    <w:pPr>
      <w:tabs>
        <w:tab w:val="clear" w:pos="240"/>
        <w:tab w:val="clear" w:pos="480"/>
        <w:tab w:val="clear" w:pos="720"/>
        <w:tab w:val="right" w:pos="4680"/>
      </w:tabs>
    </w:pPr>
  </w:style>
  <w:style w:type="paragraph" w:customStyle="1" w:styleId="PCB">
    <w:name w:val="PCB"/>
    <w:autoRedefine/>
    <w:rsid w:val="00425A88"/>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425A88"/>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425A88"/>
    <w:rPr>
      <w:rFonts w:ascii="Perpetua Std" w:hAnsi="Perpetua Std"/>
    </w:rPr>
  </w:style>
  <w:style w:type="paragraph" w:styleId="NoSpacing">
    <w:name w:val="No Spacing"/>
    <w:qFormat/>
    <w:rsid w:val="00425A88"/>
    <w:rPr>
      <w:rFonts w:ascii="Perpetua" w:hAnsi="Perpetua"/>
    </w:rPr>
  </w:style>
  <w:style w:type="paragraph" w:customStyle="1" w:styleId="PCA">
    <w:name w:val="PCA"/>
    <w:rsid w:val="00425A88"/>
    <w:pPr>
      <w:numPr>
        <w:numId w:val="16"/>
      </w:numPr>
      <w:tabs>
        <w:tab w:val="left" w:pos="720"/>
      </w:tabs>
      <w:spacing w:after="240"/>
      <w:jc w:val="both"/>
    </w:pPr>
    <w:rPr>
      <w:rFonts w:ascii="Perpetua Std" w:hAnsi="Perpetua Std"/>
      <w:sz w:val="24"/>
    </w:rPr>
  </w:style>
  <w:style w:type="paragraph" w:customStyle="1" w:styleId="PHB">
    <w:name w:val="PHB"/>
    <w:rsid w:val="00425A88"/>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425A88"/>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3331-8549-495E-9896-2D397F0F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8567. When might a taxpayer become subject to the investment income tax as a result of trade or business activities that are considered to be “passive”?</vt:lpstr>
    </vt:vector>
  </TitlesOfParts>
  <Company>Summit Business Media</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8567. When might a taxpayer become subject to the investment income tax as a result of trade or business activities that are considered to be “passive”?</dc:title>
  <dc:creator>Alexis Long</dc:creator>
  <cp:lastModifiedBy>rcline</cp:lastModifiedBy>
  <cp:revision>2</cp:revision>
  <cp:lastPrinted>2014-06-20T00:37:00Z</cp:lastPrinted>
  <dcterms:created xsi:type="dcterms:W3CDTF">2014-07-08T20:12:00Z</dcterms:created>
  <dcterms:modified xsi:type="dcterms:W3CDTF">2014-07-08T20:12:00Z</dcterms:modified>
</cp:coreProperties>
</file>