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45" w:rsidRPr="002D5F45" w:rsidRDefault="005F15D6" w:rsidP="00B611F0">
      <w:pPr>
        <w:pStyle w:val="PA"/>
        <w:rPr>
          <w:b/>
        </w:rPr>
      </w:pPr>
      <w:r>
        <w:rPr>
          <w:b/>
        </w:rPr>
        <w:t>8564</w:t>
      </w:r>
      <w:r w:rsidR="002D5F45" w:rsidRPr="002D5F45">
        <w:rPr>
          <w:b/>
        </w:rPr>
        <w:t xml:space="preserve">. </w:t>
      </w:r>
      <w:r w:rsidR="002C5702">
        <w:rPr>
          <w:b/>
        </w:rPr>
        <w:t>What is “net gain” with respect to the dis</w:t>
      </w:r>
      <w:r w:rsidR="00313356">
        <w:rPr>
          <w:b/>
        </w:rPr>
        <w:t>position of property and</w:t>
      </w:r>
      <w:r w:rsidR="002C5702">
        <w:rPr>
          <w:b/>
        </w:rPr>
        <w:t xml:space="preserve"> </w:t>
      </w:r>
      <w:r w:rsidR="00442D86">
        <w:rPr>
          <w:b/>
        </w:rPr>
        <w:t>net</w:t>
      </w:r>
      <w:r w:rsidR="002D5F45" w:rsidRPr="002D5F45">
        <w:rPr>
          <w:b/>
        </w:rPr>
        <w:t xml:space="preserve"> investment income?</w:t>
      </w:r>
    </w:p>
    <w:p w:rsidR="006149FE" w:rsidRDefault="007726E1" w:rsidP="00CD773E">
      <w:pPr>
        <w:pStyle w:val="PA"/>
        <w:rPr>
          <w:rFonts w:ascii="Perpetua" w:hAnsi="Perpetua"/>
          <w:szCs w:val="24"/>
        </w:rPr>
      </w:pPr>
      <w:r>
        <w:rPr>
          <w:rFonts w:ascii="Perpetua" w:hAnsi="Perpetua"/>
          <w:szCs w:val="24"/>
        </w:rPr>
        <w:t>Pursuant to IRC S</w:t>
      </w:r>
      <w:r w:rsidR="002C5702" w:rsidRPr="00CD773E">
        <w:rPr>
          <w:rFonts w:ascii="Perpetua" w:hAnsi="Perpetua"/>
          <w:szCs w:val="24"/>
        </w:rPr>
        <w:t>ection 1411(c</w:t>
      </w:r>
      <w:proofErr w:type="gramStart"/>
      <w:r w:rsidR="002C5702" w:rsidRPr="00CD773E">
        <w:rPr>
          <w:rFonts w:ascii="Perpetua" w:hAnsi="Perpetua"/>
          <w:szCs w:val="24"/>
        </w:rPr>
        <w:t>)(</w:t>
      </w:r>
      <w:proofErr w:type="gramEnd"/>
      <w:r w:rsidR="002C5702" w:rsidRPr="00CD773E">
        <w:rPr>
          <w:rFonts w:ascii="Perpetua" w:hAnsi="Perpetua"/>
          <w:szCs w:val="24"/>
        </w:rPr>
        <w:t>1)(A)(iii)</w:t>
      </w:r>
      <w:r>
        <w:rPr>
          <w:rFonts w:ascii="Perpetua" w:hAnsi="Perpetua"/>
          <w:szCs w:val="24"/>
        </w:rPr>
        <w:t xml:space="preserve">, “net gain” attributable to the disposition of property is included in net investment income.  Significantly, the </w:t>
      </w:r>
      <w:r w:rsidR="002C5702" w:rsidRPr="00CD773E">
        <w:rPr>
          <w:rFonts w:ascii="Perpetua" w:hAnsi="Perpetua"/>
          <w:szCs w:val="24"/>
        </w:rPr>
        <w:t xml:space="preserve">term </w:t>
      </w:r>
      <w:r>
        <w:rPr>
          <w:rFonts w:ascii="Perpetua" w:hAnsi="Perpetua"/>
          <w:szCs w:val="24"/>
        </w:rPr>
        <w:t>“net gain</w:t>
      </w:r>
      <w:r w:rsidR="002C5702" w:rsidRPr="00CD773E">
        <w:rPr>
          <w:rFonts w:ascii="Perpetua" w:hAnsi="Perpetua"/>
          <w:szCs w:val="24"/>
        </w:rPr>
        <w:t xml:space="preserve">” means that dispositions </w:t>
      </w:r>
      <w:r w:rsidR="006149FE">
        <w:rPr>
          <w:rFonts w:ascii="Perpetua" w:hAnsi="Perpetua"/>
          <w:szCs w:val="24"/>
        </w:rPr>
        <w:t xml:space="preserve">of property </w:t>
      </w:r>
      <w:r w:rsidR="002C5702" w:rsidRPr="00CD773E">
        <w:rPr>
          <w:rFonts w:ascii="Perpetua" w:hAnsi="Perpetua"/>
          <w:szCs w:val="24"/>
        </w:rPr>
        <w:t>that trigger gain</w:t>
      </w:r>
      <w:r>
        <w:rPr>
          <w:rFonts w:ascii="Perpetua" w:hAnsi="Perpetua"/>
          <w:szCs w:val="24"/>
        </w:rPr>
        <w:t xml:space="preserve"> that </w:t>
      </w:r>
      <w:r w:rsidR="002C5702" w:rsidRPr="00CD773E">
        <w:rPr>
          <w:rFonts w:ascii="Perpetua" w:hAnsi="Perpetua"/>
          <w:szCs w:val="24"/>
        </w:rPr>
        <w:t>are netted against “loss</w:t>
      </w:r>
      <w:r w:rsidR="006149FE">
        <w:rPr>
          <w:rFonts w:ascii="Perpetua" w:hAnsi="Perpetua"/>
          <w:szCs w:val="24"/>
        </w:rPr>
        <w:t>es</w:t>
      </w:r>
      <w:r w:rsidR="002C5702" w:rsidRPr="00CD773E">
        <w:rPr>
          <w:rFonts w:ascii="Perpetua" w:hAnsi="Perpetua"/>
          <w:szCs w:val="24"/>
        </w:rPr>
        <w:t>” generated in those same type</w:t>
      </w:r>
      <w:r w:rsidR="00B306FA">
        <w:rPr>
          <w:rFonts w:ascii="Perpetua" w:hAnsi="Perpetua"/>
          <w:szCs w:val="24"/>
        </w:rPr>
        <w:t>s</w:t>
      </w:r>
      <w:r w:rsidR="002C5702" w:rsidRPr="00CD773E">
        <w:rPr>
          <w:rFonts w:ascii="Perpetua" w:hAnsi="Perpetua"/>
          <w:szCs w:val="24"/>
        </w:rPr>
        <w:t xml:space="preserve"> of dispositions. </w:t>
      </w:r>
      <w:r w:rsidR="002C5702">
        <w:rPr>
          <w:rFonts w:ascii="Perpetua" w:hAnsi="Perpetua"/>
          <w:szCs w:val="24"/>
        </w:rPr>
        <w:t xml:space="preserve">  </w:t>
      </w:r>
      <w:r>
        <w:rPr>
          <w:rFonts w:ascii="Perpetua" w:hAnsi="Perpetua"/>
          <w:szCs w:val="24"/>
        </w:rPr>
        <w:t xml:space="preserve">Similar to regular income taxation, only taxable gains and non-deductible losses are considered. </w:t>
      </w:r>
      <w:r w:rsidR="00CB6434">
        <w:rPr>
          <w:rFonts w:ascii="Perpetua" w:hAnsi="Perpetua"/>
          <w:szCs w:val="24"/>
        </w:rPr>
        <w:t>Thus, b</w:t>
      </w:r>
      <w:r w:rsidR="00CB6434">
        <w:t>ecause the gain must be “recognized” for income tax purposes, dispositions of property that are income tax-free are also net investment income tax-free.  Examples of such tax-free gains include but are not limited to like-</w:t>
      </w:r>
      <w:r w:rsidR="00313356">
        <w:t>kind exchanges under IRC 1031 (S</w:t>
      </w:r>
      <w:r w:rsidR="00CB6434">
        <w:t>ee Q 8574 - Q 8594) and involuntary</w:t>
      </w:r>
      <w:r w:rsidR="00313356">
        <w:t xml:space="preserve"> conversions (S</w:t>
      </w:r>
      <w:r w:rsidR="00CB6434">
        <w:t>ee Q 8574 – Q 8582).</w:t>
      </w:r>
      <w:r w:rsidR="00CB6434" w:rsidRPr="00EE7BE5">
        <w:rPr>
          <w:rStyle w:val="FootnoteReference"/>
          <w:color w:val="auto"/>
        </w:rPr>
        <w:footnoteReference w:id="1"/>
      </w:r>
    </w:p>
    <w:p w:rsidR="00442D86" w:rsidRDefault="00313356" w:rsidP="00CD773E">
      <w:pPr>
        <w:pStyle w:val="PA"/>
      </w:pPr>
      <w:r>
        <w:rPr>
          <w:rFonts w:ascii="Perpetua" w:hAnsi="Perpetua"/>
          <w:szCs w:val="24"/>
        </w:rPr>
        <w:t>Although t</w:t>
      </w:r>
      <w:r w:rsidR="006149FE">
        <w:rPr>
          <w:rFonts w:ascii="Perpetua" w:hAnsi="Perpetua"/>
          <w:szCs w:val="24"/>
        </w:rPr>
        <w:t xml:space="preserve">he term “net gain” means that the gains and losses described above </w:t>
      </w:r>
      <w:r>
        <w:rPr>
          <w:rFonts w:ascii="Perpetua" w:hAnsi="Perpetua"/>
          <w:szCs w:val="24"/>
        </w:rPr>
        <w:t xml:space="preserve">have been netted, </w:t>
      </w:r>
      <w:r w:rsidR="007726E1">
        <w:rPr>
          <w:rFonts w:ascii="Perpetua" w:hAnsi="Perpetua"/>
          <w:szCs w:val="24"/>
        </w:rPr>
        <w:t xml:space="preserve"> as discussed in Q</w:t>
      </w:r>
      <w:r w:rsidR="005F15D6">
        <w:rPr>
          <w:rFonts w:ascii="Perpetua" w:hAnsi="Perpetua"/>
          <w:szCs w:val="24"/>
        </w:rPr>
        <w:t xml:space="preserve"> 8567</w:t>
      </w:r>
      <w:r w:rsidR="007726E1">
        <w:rPr>
          <w:rFonts w:ascii="Perpetua" w:hAnsi="Perpetua"/>
          <w:szCs w:val="24"/>
        </w:rPr>
        <w:t>, gain attributable to the disposition of property held by a trade or business in which the taxpayer materially participates</w:t>
      </w:r>
      <w:r w:rsidR="00CB6434">
        <w:rPr>
          <w:rFonts w:ascii="Perpetua" w:hAnsi="Perpetua"/>
          <w:szCs w:val="24"/>
        </w:rPr>
        <w:t>, i.e., non-passive</w:t>
      </w:r>
      <w:r w:rsidR="007726E1">
        <w:rPr>
          <w:rFonts w:ascii="Perpetua" w:hAnsi="Perpetua"/>
          <w:szCs w:val="24"/>
        </w:rPr>
        <w:t xml:space="preserve"> </w:t>
      </w:r>
      <w:r w:rsidR="00CB6434">
        <w:rPr>
          <w:rFonts w:ascii="Perpetua" w:hAnsi="Perpetua"/>
          <w:szCs w:val="24"/>
        </w:rPr>
        <w:t xml:space="preserve">(other than a trade or business trading in financial instruments and commodities) is excluded from net investment income. </w:t>
      </w:r>
      <w:r w:rsidR="00442D86">
        <w:t xml:space="preserve">In other words, </w:t>
      </w:r>
    </w:p>
    <w:p w:rsidR="00C3023D" w:rsidRPr="00CD773E" w:rsidRDefault="00C3023D" w:rsidP="00CD773E">
      <w:pPr>
        <w:pStyle w:val="PA"/>
        <w:numPr>
          <w:ilvl w:val="0"/>
          <w:numId w:val="19"/>
        </w:numPr>
      </w:pPr>
      <w:r>
        <w:t>N</w:t>
      </w:r>
      <w:r w:rsidR="00442D86">
        <w:t xml:space="preserve">et gain recognized </w:t>
      </w:r>
      <w:r>
        <w:t>from</w:t>
      </w:r>
      <w:r w:rsidR="00442D86">
        <w:t xml:space="preserve"> </w:t>
      </w:r>
      <w:r>
        <w:t>the disposition</w:t>
      </w:r>
      <w:r w:rsidR="00442D86">
        <w:t xml:space="preserve"> of property held in a trade or business in which the taxpayer materially participates </w:t>
      </w:r>
      <w:r>
        <w:t xml:space="preserve">--  </w:t>
      </w:r>
      <w:r w:rsidR="00442D86">
        <w:t>not included in net investment in</w:t>
      </w:r>
      <w:r>
        <w:t>come</w:t>
      </w:r>
    </w:p>
    <w:p w:rsidR="00C3023D" w:rsidRDefault="00C3023D" w:rsidP="00CD773E">
      <w:pPr>
        <w:pStyle w:val="PA"/>
        <w:numPr>
          <w:ilvl w:val="0"/>
          <w:numId w:val="19"/>
        </w:numPr>
      </w:pPr>
      <w:r>
        <w:t xml:space="preserve">Net gain recognized from the disposition of </w:t>
      </w:r>
      <w:r w:rsidR="00442D86">
        <w:t>property held in a trade or business in which the taxpayer does not materially participate</w:t>
      </w:r>
      <w:r>
        <w:t xml:space="preserve"> --</w:t>
      </w:r>
      <w:r w:rsidR="00442D86">
        <w:t xml:space="preserve"> included in net investment income.</w:t>
      </w:r>
    </w:p>
    <w:p w:rsidR="006B35A9" w:rsidRPr="006B35A9" w:rsidRDefault="006B35A9" w:rsidP="006B35A9">
      <w:pPr>
        <w:numPr>
          <w:ilvl w:val="0"/>
          <w:numId w:val="19"/>
        </w:numPr>
        <w:rPr>
          <w:sz w:val="24"/>
          <w:szCs w:val="24"/>
        </w:rPr>
      </w:pPr>
      <w:r w:rsidRPr="006B35A9">
        <w:rPr>
          <w:sz w:val="24"/>
          <w:szCs w:val="24"/>
        </w:rPr>
        <w:t>Net gain recognized from the disposition of investment property</w:t>
      </w:r>
      <w:r w:rsidR="00CB6A20">
        <w:rPr>
          <w:sz w:val="24"/>
          <w:szCs w:val="24"/>
        </w:rPr>
        <w:t xml:space="preserve"> (no trade or business involved)</w:t>
      </w:r>
      <w:r w:rsidRPr="006B35A9">
        <w:rPr>
          <w:sz w:val="24"/>
          <w:szCs w:val="24"/>
        </w:rPr>
        <w:t xml:space="preserve"> – </w:t>
      </w:r>
      <w:r w:rsidR="0090065D">
        <w:rPr>
          <w:sz w:val="24"/>
          <w:szCs w:val="24"/>
        </w:rPr>
        <w:t xml:space="preserve">always </w:t>
      </w:r>
      <w:r w:rsidRPr="006B35A9">
        <w:rPr>
          <w:sz w:val="24"/>
          <w:szCs w:val="24"/>
        </w:rPr>
        <w:t>included in net investment income.</w:t>
      </w:r>
    </w:p>
    <w:p w:rsidR="006B35A9" w:rsidRPr="006B35A9" w:rsidRDefault="006B35A9" w:rsidP="006B35A9">
      <w:pPr>
        <w:ind w:left="648"/>
        <w:rPr>
          <w:sz w:val="24"/>
          <w:szCs w:val="24"/>
        </w:rPr>
      </w:pPr>
    </w:p>
    <w:p w:rsidR="00442D86" w:rsidRDefault="00C3023D" w:rsidP="00CD773E">
      <w:pPr>
        <w:pStyle w:val="PA"/>
        <w:numPr>
          <w:ilvl w:val="0"/>
          <w:numId w:val="19"/>
        </w:numPr>
      </w:pPr>
      <w:r>
        <w:t xml:space="preserve">Net gain recognized from </w:t>
      </w:r>
      <w:r w:rsidR="00442D86">
        <w:t xml:space="preserve">the disposition of any property held by business of trading financial instruments or commodities (regardless of the taxpayer’s participation in the business) </w:t>
      </w:r>
      <w:r>
        <w:t>-- always included in net investment income.</w:t>
      </w:r>
    </w:p>
    <w:p w:rsidR="007124E9" w:rsidRDefault="007124E9" w:rsidP="007124E9">
      <w:pPr>
        <w:pStyle w:val="PA"/>
      </w:pPr>
      <w:r>
        <w:t>See Q</w:t>
      </w:r>
      <w:r w:rsidR="009032A7">
        <w:t xml:space="preserve"> </w:t>
      </w:r>
      <w:r>
        <w:t xml:space="preserve">8569.02 for </w:t>
      </w:r>
      <w:r w:rsidR="009032A7">
        <w:t>a discussion of how net investment income gains are netted against net investment income losses</w:t>
      </w:r>
      <w:r>
        <w:t xml:space="preserve">.  </w:t>
      </w:r>
    </w:p>
    <w:p w:rsidR="007124E9" w:rsidRPr="007124E9" w:rsidRDefault="007124E9" w:rsidP="007124E9">
      <w:pPr>
        <w:pStyle w:val="PA"/>
        <w:rPr>
          <w:b/>
        </w:rPr>
      </w:pPr>
      <w:r>
        <w:rPr>
          <w:b/>
        </w:rPr>
        <w:t>856</w:t>
      </w:r>
      <w:r w:rsidR="005F15D6">
        <w:rPr>
          <w:b/>
        </w:rPr>
        <w:t>4</w:t>
      </w:r>
      <w:r>
        <w:rPr>
          <w:b/>
        </w:rPr>
        <w:t xml:space="preserve">.02. How are </w:t>
      </w:r>
      <w:r w:rsidR="00B306FA">
        <w:rPr>
          <w:b/>
        </w:rPr>
        <w:t>gains</w:t>
      </w:r>
      <w:r>
        <w:rPr>
          <w:b/>
        </w:rPr>
        <w:t xml:space="preserve"> </w:t>
      </w:r>
      <w:r w:rsidR="0090065D">
        <w:rPr>
          <w:b/>
        </w:rPr>
        <w:t xml:space="preserve">from the disposition of </w:t>
      </w:r>
      <w:r>
        <w:rPr>
          <w:b/>
        </w:rPr>
        <w:t xml:space="preserve">property </w:t>
      </w:r>
      <w:r w:rsidR="003E3D1B">
        <w:rPr>
          <w:b/>
        </w:rPr>
        <w:t>netted</w:t>
      </w:r>
      <w:r w:rsidR="006149FE">
        <w:rPr>
          <w:b/>
        </w:rPr>
        <w:t xml:space="preserve"> against </w:t>
      </w:r>
      <w:r w:rsidR="00B306FA">
        <w:rPr>
          <w:b/>
        </w:rPr>
        <w:t>losses</w:t>
      </w:r>
      <w:r w:rsidR="006149FE">
        <w:rPr>
          <w:b/>
        </w:rPr>
        <w:t xml:space="preserve"> in determining “net gain” included in net </w:t>
      </w:r>
      <w:r>
        <w:rPr>
          <w:b/>
        </w:rPr>
        <w:t>investment income?</w:t>
      </w:r>
    </w:p>
    <w:p w:rsidR="005B398C" w:rsidRDefault="005F15D6" w:rsidP="00CD773E">
      <w:pPr>
        <w:ind w:firstLine="288"/>
        <w:jc w:val="both"/>
        <w:rPr>
          <w:rFonts w:ascii="Perpetua" w:hAnsi="Perpetua"/>
          <w:sz w:val="24"/>
          <w:szCs w:val="24"/>
        </w:rPr>
      </w:pPr>
      <w:r>
        <w:rPr>
          <w:rFonts w:ascii="Perpetua" w:hAnsi="Perpetua"/>
          <w:sz w:val="24"/>
          <w:szCs w:val="24"/>
        </w:rPr>
        <w:t>As discussed in Q 8564</w:t>
      </w:r>
      <w:r w:rsidR="006149FE">
        <w:rPr>
          <w:rFonts w:ascii="Perpetua" w:hAnsi="Perpetua"/>
          <w:sz w:val="24"/>
          <w:szCs w:val="24"/>
        </w:rPr>
        <w:t>, above, for purposes of IRC S</w:t>
      </w:r>
      <w:r w:rsidR="002C5702" w:rsidRPr="00CD773E">
        <w:rPr>
          <w:rFonts w:ascii="Perpetua" w:hAnsi="Perpetua"/>
          <w:sz w:val="24"/>
          <w:szCs w:val="24"/>
        </w:rPr>
        <w:t>ection 1411(c</w:t>
      </w:r>
      <w:proofErr w:type="gramStart"/>
      <w:r w:rsidR="002C5702" w:rsidRPr="00CD773E">
        <w:rPr>
          <w:rFonts w:ascii="Perpetua" w:hAnsi="Perpetua"/>
          <w:sz w:val="24"/>
          <w:szCs w:val="24"/>
        </w:rPr>
        <w:t>)(</w:t>
      </w:r>
      <w:proofErr w:type="gramEnd"/>
      <w:r w:rsidR="002C5702" w:rsidRPr="00CD773E">
        <w:rPr>
          <w:rFonts w:ascii="Perpetua" w:hAnsi="Perpetua"/>
          <w:sz w:val="24"/>
          <w:szCs w:val="24"/>
        </w:rPr>
        <w:t xml:space="preserve">1)(A)(iii) </w:t>
      </w:r>
      <w:r w:rsidR="006149FE" w:rsidRPr="00CD773E">
        <w:rPr>
          <w:rFonts w:ascii="Perpetua" w:hAnsi="Perpetua"/>
          <w:sz w:val="24"/>
          <w:szCs w:val="24"/>
        </w:rPr>
        <w:t>“net gain</w:t>
      </w:r>
      <w:r w:rsidR="002C5702" w:rsidRPr="00CD773E">
        <w:rPr>
          <w:rFonts w:ascii="Perpetua" w:hAnsi="Perpetua"/>
          <w:sz w:val="24"/>
          <w:szCs w:val="24"/>
        </w:rPr>
        <w:t>”</w:t>
      </w:r>
      <w:r w:rsidR="006149FE">
        <w:rPr>
          <w:rFonts w:ascii="Perpetua" w:hAnsi="Perpetua"/>
          <w:sz w:val="24"/>
          <w:szCs w:val="24"/>
        </w:rPr>
        <w:t xml:space="preserve"> means that</w:t>
      </w:r>
      <w:r w:rsidR="00CB6434">
        <w:rPr>
          <w:rFonts w:ascii="Perpetua" w:hAnsi="Perpetua"/>
          <w:sz w:val="24"/>
          <w:szCs w:val="24"/>
        </w:rPr>
        <w:t xml:space="preserve"> gains are </w:t>
      </w:r>
      <w:r w:rsidR="006149FE" w:rsidRPr="00E445A1">
        <w:rPr>
          <w:rFonts w:ascii="Perpetua" w:hAnsi="Perpetua"/>
          <w:sz w:val="24"/>
          <w:szCs w:val="24"/>
        </w:rPr>
        <w:t>netted against “loss</w:t>
      </w:r>
      <w:r w:rsidR="006149FE" w:rsidRPr="0090065D">
        <w:rPr>
          <w:rFonts w:ascii="Perpetua" w:hAnsi="Perpetua"/>
          <w:sz w:val="24"/>
          <w:szCs w:val="24"/>
        </w:rPr>
        <w:t>es</w:t>
      </w:r>
      <w:r w:rsidR="00CB6434">
        <w:rPr>
          <w:rFonts w:ascii="Perpetua" w:hAnsi="Perpetua"/>
          <w:sz w:val="24"/>
          <w:szCs w:val="24"/>
        </w:rPr>
        <w:t>.</w:t>
      </w:r>
      <w:r w:rsidR="006149FE" w:rsidRPr="0090065D">
        <w:rPr>
          <w:rFonts w:ascii="Perpetua" w:hAnsi="Perpetua"/>
          <w:sz w:val="24"/>
          <w:szCs w:val="24"/>
        </w:rPr>
        <w:t>”</w:t>
      </w:r>
      <w:r w:rsidR="005B398C">
        <w:rPr>
          <w:rFonts w:ascii="Perpetua" w:hAnsi="Perpetua"/>
          <w:sz w:val="24"/>
          <w:szCs w:val="24"/>
        </w:rPr>
        <w:t xml:space="preserve"> </w:t>
      </w:r>
      <w:r w:rsidR="00CB6434">
        <w:rPr>
          <w:rFonts w:ascii="Perpetua" w:hAnsi="Perpetua"/>
          <w:sz w:val="24"/>
          <w:szCs w:val="24"/>
        </w:rPr>
        <w:t xml:space="preserve">For example, </w:t>
      </w:r>
      <w:r w:rsidR="00110070">
        <w:rPr>
          <w:rFonts w:ascii="Perpetua" w:hAnsi="Perpetua"/>
          <w:sz w:val="24"/>
          <w:szCs w:val="24"/>
        </w:rPr>
        <w:t xml:space="preserve">a disposition of property held by a trade or business </w:t>
      </w:r>
      <w:r w:rsidR="005B398C">
        <w:rPr>
          <w:rFonts w:ascii="Perpetua" w:hAnsi="Perpetua"/>
          <w:sz w:val="24"/>
          <w:szCs w:val="24"/>
        </w:rPr>
        <w:t xml:space="preserve">in which the taxpayer does not materially participate </w:t>
      </w:r>
      <w:r w:rsidR="004656E2">
        <w:rPr>
          <w:rFonts w:ascii="Perpetua" w:hAnsi="Perpetua"/>
          <w:sz w:val="24"/>
          <w:szCs w:val="24"/>
        </w:rPr>
        <w:t xml:space="preserve">(passive) </w:t>
      </w:r>
      <w:r w:rsidR="005B398C">
        <w:rPr>
          <w:rFonts w:ascii="Perpetua" w:hAnsi="Perpetua"/>
          <w:sz w:val="24"/>
          <w:szCs w:val="24"/>
        </w:rPr>
        <w:t xml:space="preserve">that results in a recognized gain would be offset by a </w:t>
      </w:r>
      <w:r w:rsidR="00CB6434">
        <w:rPr>
          <w:rFonts w:ascii="Perpetua" w:hAnsi="Perpetua"/>
          <w:sz w:val="24"/>
          <w:szCs w:val="24"/>
        </w:rPr>
        <w:t xml:space="preserve">similar </w:t>
      </w:r>
      <w:r w:rsidR="005B398C">
        <w:rPr>
          <w:rFonts w:ascii="Perpetua" w:hAnsi="Perpetua"/>
          <w:sz w:val="24"/>
          <w:szCs w:val="24"/>
        </w:rPr>
        <w:t xml:space="preserve">disposition of property that results in an allowed deductible loss.  </w:t>
      </w:r>
      <w:r w:rsidR="0090065D">
        <w:rPr>
          <w:rFonts w:ascii="Perpetua" w:hAnsi="Perpetua"/>
          <w:sz w:val="24"/>
          <w:szCs w:val="24"/>
        </w:rPr>
        <w:t>Examples of losses</w:t>
      </w:r>
      <w:r w:rsidR="005B398C">
        <w:rPr>
          <w:rFonts w:ascii="Perpetua" w:hAnsi="Perpetua"/>
          <w:sz w:val="24"/>
          <w:szCs w:val="24"/>
        </w:rPr>
        <w:t xml:space="preserve"> include those allowed </w:t>
      </w:r>
      <w:r w:rsidR="00110070" w:rsidRPr="00CD773E">
        <w:rPr>
          <w:rFonts w:ascii="Perpetua" w:hAnsi="Perpetua"/>
          <w:sz w:val="24"/>
          <w:szCs w:val="24"/>
        </w:rPr>
        <w:t>under IRC Section 165,</w:t>
      </w:r>
      <w:r w:rsidR="005B398C">
        <w:rPr>
          <w:rFonts w:ascii="Perpetua" w:hAnsi="Perpetua"/>
          <w:sz w:val="24"/>
          <w:szCs w:val="24"/>
        </w:rPr>
        <w:t xml:space="preserve"> i.e., </w:t>
      </w:r>
      <w:r w:rsidR="00110070" w:rsidRPr="00CD773E">
        <w:rPr>
          <w:rFonts w:ascii="Perpetua" w:hAnsi="Perpetua"/>
          <w:sz w:val="24"/>
          <w:szCs w:val="24"/>
        </w:rPr>
        <w:t>casualty losses (see Q 8617), theft losses (see Q 8620), and losses realized as a result of worthless securities (see Q 8667</w:t>
      </w:r>
      <w:r w:rsidR="0090065D">
        <w:rPr>
          <w:rFonts w:ascii="Perpetua" w:hAnsi="Perpetua"/>
          <w:sz w:val="24"/>
          <w:szCs w:val="24"/>
        </w:rPr>
        <w:t>) involving property held by a trade or business in which the taxpayer does not materially participate.</w:t>
      </w:r>
    </w:p>
    <w:p w:rsidR="005B398C" w:rsidRDefault="005B398C" w:rsidP="00CD773E">
      <w:pPr>
        <w:ind w:firstLine="288"/>
        <w:jc w:val="both"/>
        <w:rPr>
          <w:rFonts w:ascii="Perpetua" w:hAnsi="Perpetua"/>
          <w:sz w:val="24"/>
          <w:szCs w:val="24"/>
        </w:rPr>
      </w:pPr>
    </w:p>
    <w:p w:rsidR="005E2050" w:rsidRDefault="00110070" w:rsidP="00CD773E">
      <w:pPr>
        <w:ind w:firstLine="288"/>
        <w:jc w:val="both"/>
        <w:rPr>
          <w:rFonts w:ascii="Perpetua" w:hAnsi="Perpetua"/>
          <w:sz w:val="24"/>
          <w:szCs w:val="24"/>
        </w:rPr>
      </w:pPr>
      <w:r>
        <w:rPr>
          <w:rFonts w:ascii="Perpetua" w:hAnsi="Perpetua"/>
          <w:sz w:val="24"/>
          <w:szCs w:val="24"/>
        </w:rPr>
        <w:t xml:space="preserve">Additionally, the same rules for the deductibility </w:t>
      </w:r>
      <w:r w:rsidR="005B398C">
        <w:rPr>
          <w:rFonts w:ascii="Perpetua" w:hAnsi="Perpetua"/>
          <w:sz w:val="24"/>
          <w:szCs w:val="24"/>
        </w:rPr>
        <w:t xml:space="preserve">of </w:t>
      </w:r>
      <w:r>
        <w:rPr>
          <w:rFonts w:ascii="Perpetua" w:hAnsi="Perpetua"/>
          <w:sz w:val="24"/>
          <w:szCs w:val="24"/>
        </w:rPr>
        <w:t xml:space="preserve">regular income tax losses also </w:t>
      </w:r>
      <w:r w:rsidR="005B398C">
        <w:rPr>
          <w:rFonts w:ascii="Perpetua" w:hAnsi="Perpetua"/>
          <w:sz w:val="24"/>
          <w:szCs w:val="24"/>
        </w:rPr>
        <w:t xml:space="preserve">apply to the </w:t>
      </w:r>
      <w:r w:rsidR="00CB6434">
        <w:rPr>
          <w:rFonts w:ascii="Perpetua" w:hAnsi="Perpetua"/>
          <w:sz w:val="24"/>
          <w:szCs w:val="24"/>
        </w:rPr>
        <w:t>netting of ne</w:t>
      </w:r>
      <w:r w:rsidR="005B398C">
        <w:rPr>
          <w:rFonts w:ascii="Perpetua" w:hAnsi="Perpetua"/>
          <w:sz w:val="24"/>
          <w:szCs w:val="24"/>
        </w:rPr>
        <w:t>t investment income losses</w:t>
      </w:r>
      <w:r w:rsidR="00CB6434">
        <w:rPr>
          <w:rFonts w:ascii="Perpetua" w:hAnsi="Perpetua"/>
          <w:sz w:val="24"/>
          <w:szCs w:val="24"/>
        </w:rPr>
        <w:t xml:space="preserve"> against gains</w:t>
      </w:r>
      <w:r w:rsidR="005B398C">
        <w:rPr>
          <w:rFonts w:ascii="Perpetua" w:hAnsi="Perpetua"/>
          <w:sz w:val="24"/>
          <w:szCs w:val="24"/>
        </w:rPr>
        <w:t>.  So</w:t>
      </w:r>
      <w:r w:rsidR="003E3D1B">
        <w:rPr>
          <w:rFonts w:ascii="Perpetua" w:hAnsi="Perpetua"/>
          <w:sz w:val="24"/>
          <w:szCs w:val="24"/>
        </w:rPr>
        <w:t>,</w:t>
      </w:r>
      <w:r w:rsidR="005B398C">
        <w:rPr>
          <w:rFonts w:ascii="Perpetua" w:hAnsi="Perpetua"/>
          <w:sz w:val="24"/>
          <w:szCs w:val="24"/>
        </w:rPr>
        <w:t xml:space="preserve"> </w:t>
      </w:r>
      <w:r w:rsidR="00CB6434">
        <w:rPr>
          <w:rFonts w:ascii="Perpetua" w:hAnsi="Perpetua"/>
          <w:sz w:val="24"/>
          <w:szCs w:val="24"/>
        </w:rPr>
        <w:t xml:space="preserve">similar to regular income tax, </w:t>
      </w:r>
      <w:r w:rsidR="005B398C">
        <w:rPr>
          <w:rFonts w:ascii="Perpetua" w:hAnsi="Perpetua"/>
          <w:sz w:val="24"/>
          <w:szCs w:val="24"/>
        </w:rPr>
        <w:t xml:space="preserve">net investment income ordinary losses are </w:t>
      </w:r>
      <w:r w:rsidR="00CB6434">
        <w:rPr>
          <w:rFonts w:ascii="Perpetua" w:hAnsi="Perpetua"/>
          <w:sz w:val="24"/>
          <w:szCs w:val="24"/>
        </w:rPr>
        <w:t xml:space="preserve">netted </w:t>
      </w:r>
      <w:r w:rsidR="005B398C">
        <w:rPr>
          <w:rFonts w:ascii="Perpetua" w:hAnsi="Perpetua"/>
          <w:sz w:val="24"/>
          <w:szCs w:val="24"/>
        </w:rPr>
        <w:t xml:space="preserve">against net investment income capital gain and net investment ordinary gain.  </w:t>
      </w:r>
      <w:r w:rsidR="009E0FB3">
        <w:rPr>
          <w:rFonts w:ascii="Perpetua" w:hAnsi="Perpetua"/>
          <w:sz w:val="24"/>
          <w:szCs w:val="24"/>
        </w:rPr>
        <w:t xml:space="preserve"> </w:t>
      </w:r>
    </w:p>
    <w:p w:rsidR="005E2050" w:rsidRDefault="005E2050" w:rsidP="00CD773E">
      <w:pPr>
        <w:ind w:firstLine="288"/>
        <w:jc w:val="both"/>
        <w:rPr>
          <w:rFonts w:ascii="Perpetua" w:hAnsi="Perpetua"/>
          <w:sz w:val="24"/>
          <w:szCs w:val="24"/>
        </w:rPr>
      </w:pPr>
    </w:p>
    <w:p w:rsidR="002C5702" w:rsidRDefault="00CB6434" w:rsidP="00CD773E">
      <w:pPr>
        <w:ind w:firstLine="288"/>
        <w:jc w:val="both"/>
        <w:rPr>
          <w:rFonts w:ascii="Perpetua" w:hAnsi="Perpetua"/>
          <w:sz w:val="24"/>
          <w:szCs w:val="24"/>
        </w:rPr>
      </w:pPr>
      <w:r>
        <w:rPr>
          <w:rFonts w:ascii="Perpetua" w:hAnsi="Perpetua"/>
          <w:sz w:val="24"/>
          <w:szCs w:val="24"/>
        </w:rPr>
        <w:t xml:space="preserve">Also, </w:t>
      </w:r>
      <w:r w:rsidR="002C5702" w:rsidRPr="00CD773E">
        <w:rPr>
          <w:rFonts w:ascii="Perpetua" w:hAnsi="Perpetua"/>
          <w:sz w:val="24"/>
          <w:szCs w:val="24"/>
        </w:rPr>
        <w:t xml:space="preserve">the final regulations </w:t>
      </w:r>
      <w:r w:rsidR="009E0FB3">
        <w:rPr>
          <w:rFonts w:ascii="Perpetua" w:hAnsi="Perpetua"/>
          <w:sz w:val="24"/>
          <w:szCs w:val="24"/>
        </w:rPr>
        <w:t xml:space="preserve">provide for the </w:t>
      </w:r>
      <w:r w:rsidR="006149FE">
        <w:rPr>
          <w:rFonts w:ascii="Perpetua" w:hAnsi="Perpetua"/>
          <w:sz w:val="24"/>
          <w:szCs w:val="24"/>
        </w:rPr>
        <w:t>offset</w:t>
      </w:r>
      <w:r w:rsidR="009E0FB3">
        <w:rPr>
          <w:rFonts w:ascii="Perpetua" w:hAnsi="Perpetua"/>
          <w:sz w:val="24"/>
          <w:szCs w:val="24"/>
        </w:rPr>
        <w:t xml:space="preserve"> of </w:t>
      </w:r>
      <w:r w:rsidR="006149FE" w:rsidRPr="00CD773E">
        <w:rPr>
          <w:rFonts w:ascii="Perpetua" w:hAnsi="Perpetua"/>
          <w:sz w:val="24"/>
          <w:szCs w:val="24"/>
        </w:rPr>
        <w:t xml:space="preserve">capital losses and capital gains in arriving at </w:t>
      </w:r>
      <w:r w:rsidR="006149FE">
        <w:rPr>
          <w:rFonts w:ascii="Perpetua" w:hAnsi="Perpetua"/>
          <w:sz w:val="24"/>
          <w:szCs w:val="24"/>
        </w:rPr>
        <w:t>“net gain”</w:t>
      </w:r>
      <w:r w:rsidR="005F15D6">
        <w:rPr>
          <w:rFonts w:ascii="Perpetua" w:hAnsi="Perpetua"/>
          <w:sz w:val="24"/>
          <w:szCs w:val="24"/>
        </w:rPr>
        <w:t xml:space="preserve"> included in net investment income </w:t>
      </w:r>
      <w:r w:rsidR="006149FE">
        <w:rPr>
          <w:rFonts w:ascii="Perpetua" w:hAnsi="Perpetua"/>
          <w:sz w:val="24"/>
          <w:szCs w:val="24"/>
        </w:rPr>
        <w:t xml:space="preserve">in the same way </w:t>
      </w:r>
      <w:r w:rsidR="00CF6BF9">
        <w:rPr>
          <w:rFonts w:ascii="Perpetua" w:hAnsi="Perpetua"/>
          <w:sz w:val="24"/>
          <w:szCs w:val="24"/>
        </w:rPr>
        <w:t xml:space="preserve">as they offset </w:t>
      </w:r>
      <w:r w:rsidR="0090065D">
        <w:rPr>
          <w:rFonts w:ascii="Perpetua" w:hAnsi="Perpetua"/>
          <w:sz w:val="24"/>
          <w:szCs w:val="24"/>
        </w:rPr>
        <w:t xml:space="preserve">each other </w:t>
      </w:r>
      <w:r w:rsidR="002C5702" w:rsidRPr="00CD773E">
        <w:rPr>
          <w:rFonts w:ascii="Perpetua" w:hAnsi="Perpetua"/>
          <w:sz w:val="24"/>
          <w:szCs w:val="24"/>
        </w:rPr>
        <w:t>for regular income tax purposes.</w:t>
      </w:r>
      <w:r w:rsidR="005E2050">
        <w:rPr>
          <w:rFonts w:ascii="Perpetua" w:hAnsi="Perpetua"/>
          <w:sz w:val="24"/>
          <w:szCs w:val="24"/>
        </w:rPr>
        <w:t xml:space="preserve">  </w:t>
      </w:r>
      <w:r w:rsidR="002C5702" w:rsidRPr="00CD773E">
        <w:rPr>
          <w:rFonts w:ascii="Perpetua" w:hAnsi="Perpetua"/>
          <w:sz w:val="24"/>
          <w:szCs w:val="24"/>
        </w:rPr>
        <w:t>For regular income tax purposes, capital losses are deductible to the extent of capital gains plus $3,000 of any excess being deductible against other income.  The unused excess loss is carried over to subsequent tax years subject to being netted against capital gains generated in such years.</w:t>
      </w:r>
      <w:r w:rsidR="003E3D1B" w:rsidRPr="00EE7BE5">
        <w:rPr>
          <w:rStyle w:val="FootnoteReference"/>
        </w:rPr>
        <w:footnoteReference w:id="2"/>
      </w:r>
      <w:r w:rsidR="002C5702" w:rsidRPr="00CD773E">
        <w:rPr>
          <w:rFonts w:ascii="Perpetua" w:hAnsi="Perpetua"/>
          <w:sz w:val="24"/>
          <w:szCs w:val="24"/>
        </w:rPr>
        <w:t xml:space="preserve">  Similarly, </w:t>
      </w:r>
      <w:r w:rsidR="005F15D6">
        <w:rPr>
          <w:rFonts w:ascii="Perpetua" w:hAnsi="Perpetua"/>
          <w:sz w:val="24"/>
          <w:szCs w:val="24"/>
        </w:rPr>
        <w:t xml:space="preserve">for net investment income purposes, </w:t>
      </w:r>
      <w:r w:rsidR="002C5702" w:rsidRPr="00CD773E">
        <w:rPr>
          <w:rFonts w:ascii="Perpetua" w:hAnsi="Perpetua"/>
          <w:sz w:val="24"/>
          <w:szCs w:val="24"/>
        </w:rPr>
        <w:t xml:space="preserve">a taxpayer may use the same netting rules to reduce </w:t>
      </w:r>
      <w:r w:rsidR="00CF6BF9">
        <w:rPr>
          <w:rFonts w:ascii="Perpetua" w:hAnsi="Perpetua"/>
          <w:sz w:val="24"/>
          <w:szCs w:val="24"/>
        </w:rPr>
        <w:t>“</w:t>
      </w:r>
      <w:r w:rsidR="002C5702" w:rsidRPr="00CD773E">
        <w:rPr>
          <w:rFonts w:ascii="Perpetua" w:hAnsi="Perpetua"/>
          <w:sz w:val="24"/>
          <w:szCs w:val="24"/>
        </w:rPr>
        <w:t>net gain</w:t>
      </w:r>
      <w:r w:rsidR="00CF6BF9">
        <w:rPr>
          <w:rFonts w:ascii="Perpetua" w:hAnsi="Perpetua"/>
          <w:sz w:val="24"/>
          <w:szCs w:val="24"/>
        </w:rPr>
        <w:t>”</w:t>
      </w:r>
      <w:r w:rsidR="002C5702" w:rsidRPr="00CD773E">
        <w:rPr>
          <w:rFonts w:ascii="Perpetua" w:hAnsi="Perpetua"/>
          <w:sz w:val="24"/>
          <w:szCs w:val="24"/>
        </w:rPr>
        <w:t xml:space="preserve"> to zero, with $3,000 of any excess reducing other investment income.  Any unused excess capital loss is carried over to subsequent years to be </w:t>
      </w:r>
      <w:r w:rsidR="005339C1">
        <w:rPr>
          <w:rFonts w:ascii="Perpetua" w:hAnsi="Perpetua"/>
          <w:sz w:val="24"/>
          <w:szCs w:val="24"/>
        </w:rPr>
        <w:t xml:space="preserve">netted against capital gain </w:t>
      </w:r>
      <w:r w:rsidR="002C5702" w:rsidRPr="00CD773E">
        <w:rPr>
          <w:rFonts w:ascii="Perpetua" w:hAnsi="Perpetua"/>
          <w:sz w:val="24"/>
          <w:szCs w:val="24"/>
        </w:rPr>
        <w:t>in the same manner.</w:t>
      </w:r>
      <w:r w:rsidR="00734DAD">
        <w:rPr>
          <w:rStyle w:val="FootnoteReference"/>
          <w:rFonts w:ascii="Perpetua" w:hAnsi="Perpetua"/>
          <w:sz w:val="24"/>
          <w:szCs w:val="24"/>
        </w:rPr>
        <w:footnoteReference w:id="3"/>
      </w:r>
    </w:p>
    <w:p w:rsidR="009E0FB3" w:rsidRDefault="009E0FB3" w:rsidP="00CD773E">
      <w:pPr>
        <w:ind w:firstLine="288"/>
        <w:jc w:val="both"/>
        <w:rPr>
          <w:rFonts w:ascii="Perpetua" w:hAnsi="Perpetua"/>
          <w:sz w:val="24"/>
          <w:szCs w:val="24"/>
        </w:rPr>
      </w:pPr>
      <w:bookmarkStart w:id="0" w:name="_GoBack"/>
      <w:bookmarkEnd w:id="0"/>
    </w:p>
    <w:p w:rsidR="009E0FB3" w:rsidRPr="00474F32" w:rsidRDefault="00953C6E" w:rsidP="00CD773E">
      <w:pPr>
        <w:ind w:firstLine="288"/>
        <w:jc w:val="both"/>
        <w:rPr>
          <w:rFonts w:ascii="Perpetua" w:hAnsi="Perpetua"/>
          <w:sz w:val="24"/>
          <w:szCs w:val="24"/>
        </w:rPr>
      </w:pPr>
      <w:proofErr w:type="gramStart"/>
      <w:r w:rsidRPr="00953C6E">
        <w:rPr>
          <w:rFonts w:ascii="Perpetua" w:hAnsi="Perpetua"/>
          <w:b/>
          <w:sz w:val="24"/>
          <w:szCs w:val="24"/>
        </w:rPr>
        <w:t>Planning Point:</w:t>
      </w:r>
      <w:r>
        <w:rPr>
          <w:rFonts w:ascii="Perpetua" w:hAnsi="Perpetua"/>
          <w:sz w:val="24"/>
          <w:szCs w:val="24"/>
        </w:rPr>
        <w:t xml:space="preserve">  </w:t>
      </w:r>
      <w:r w:rsidR="009E0FB3" w:rsidRPr="00474F32">
        <w:rPr>
          <w:rFonts w:ascii="Perpetua" w:hAnsi="Perpetua"/>
          <w:sz w:val="24"/>
          <w:szCs w:val="24"/>
        </w:rPr>
        <w:t xml:space="preserve">Significantly, </w:t>
      </w:r>
      <w:r w:rsidR="0090065D">
        <w:rPr>
          <w:rFonts w:ascii="Perpetua" w:hAnsi="Perpetua"/>
          <w:sz w:val="24"/>
          <w:szCs w:val="24"/>
        </w:rPr>
        <w:t xml:space="preserve">in the aggregate </w:t>
      </w:r>
      <w:r w:rsidR="009E0FB3" w:rsidRPr="00474F32">
        <w:rPr>
          <w:rFonts w:ascii="Perpetua" w:hAnsi="Perpetua"/>
          <w:sz w:val="24"/>
          <w:szCs w:val="24"/>
        </w:rPr>
        <w:t>net investment income losses are only deductible to the extent of net investment income gains meaning that net gain cannot be reduced below zero.</w:t>
      </w:r>
      <w:proofErr w:type="gramEnd"/>
      <w:r w:rsidR="0090065D">
        <w:rPr>
          <w:rStyle w:val="FootnoteReference"/>
          <w:rFonts w:ascii="Perpetua" w:hAnsi="Perpetua"/>
          <w:sz w:val="24"/>
          <w:szCs w:val="24"/>
        </w:rPr>
        <w:footnoteReference w:id="4"/>
      </w:r>
      <w:r w:rsidR="009E0FB3" w:rsidRPr="00474F32">
        <w:rPr>
          <w:rFonts w:ascii="Perpetua" w:hAnsi="Perpetua"/>
          <w:sz w:val="24"/>
          <w:szCs w:val="24"/>
        </w:rPr>
        <w:t xml:space="preserve"> </w:t>
      </w:r>
      <w:r w:rsidR="00B34441">
        <w:rPr>
          <w:rFonts w:ascii="Perpetua" w:hAnsi="Perpetua"/>
          <w:sz w:val="24"/>
          <w:szCs w:val="24"/>
        </w:rPr>
        <w:t xml:space="preserve">In other words, </w:t>
      </w:r>
      <w:r w:rsidR="009E0FB3" w:rsidRPr="00474F32">
        <w:rPr>
          <w:rFonts w:ascii="Perpetua" w:hAnsi="Perpetua"/>
          <w:sz w:val="24"/>
          <w:szCs w:val="24"/>
        </w:rPr>
        <w:t>there can never be a “net loss.”</w:t>
      </w:r>
      <w:r w:rsidR="00474F32" w:rsidRPr="00474F32">
        <w:rPr>
          <w:rFonts w:ascii="Perpetua" w:hAnsi="Perpetua"/>
          <w:sz w:val="24"/>
          <w:szCs w:val="24"/>
        </w:rPr>
        <w:t xml:space="preserve">  </w:t>
      </w:r>
      <w:r w:rsidR="00474F32">
        <w:rPr>
          <w:rFonts w:ascii="Perpetua" w:hAnsi="Perpetua"/>
          <w:sz w:val="24"/>
          <w:szCs w:val="24"/>
        </w:rPr>
        <w:t>However, as discussed in Q 856</w:t>
      </w:r>
      <w:r w:rsidR="005F15D6">
        <w:rPr>
          <w:rFonts w:ascii="Perpetua" w:hAnsi="Perpetua"/>
          <w:sz w:val="24"/>
          <w:szCs w:val="24"/>
        </w:rPr>
        <w:t>4</w:t>
      </w:r>
      <w:r w:rsidR="00474F32">
        <w:rPr>
          <w:rFonts w:ascii="Perpetua" w:hAnsi="Perpetua"/>
          <w:sz w:val="24"/>
          <w:szCs w:val="24"/>
        </w:rPr>
        <w:t xml:space="preserve">.03, </w:t>
      </w:r>
      <w:r w:rsidR="00474F32" w:rsidRPr="00474F32">
        <w:rPr>
          <w:rFonts w:ascii="Perpetua" w:hAnsi="Perpetua"/>
          <w:sz w:val="24"/>
          <w:szCs w:val="24"/>
        </w:rPr>
        <w:t xml:space="preserve">the final regulations </w:t>
      </w:r>
      <w:r w:rsidR="00474F32">
        <w:rPr>
          <w:rFonts w:ascii="Perpetua" w:hAnsi="Perpetua"/>
          <w:sz w:val="24"/>
          <w:szCs w:val="24"/>
        </w:rPr>
        <w:t xml:space="preserve">do allow excess investment income losses </w:t>
      </w:r>
      <w:r w:rsidR="00474F32" w:rsidRPr="00474F32">
        <w:rPr>
          <w:rFonts w:ascii="Perpetua" w:hAnsi="Perpetua"/>
          <w:sz w:val="24"/>
          <w:szCs w:val="24"/>
        </w:rPr>
        <w:t>to be used to reduce other net investment</w:t>
      </w:r>
      <w:r w:rsidR="00474F32">
        <w:rPr>
          <w:rFonts w:ascii="Perpetua" w:hAnsi="Perpetua"/>
          <w:sz w:val="24"/>
          <w:szCs w:val="24"/>
        </w:rPr>
        <w:t xml:space="preserve"> income.</w:t>
      </w:r>
      <w:r w:rsidR="00734DAD">
        <w:rPr>
          <w:rStyle w:val="FootnoteReference"/>
          <w:rFonts w:ascii="Perpetua" w:hAnsi="Perpetua"/>
          <w:sz w:val="24"/>
          <w:szCs w:val="24"/>
        </w:rPr>
        <w:footnoteReference w:id="5"/>
      </w:r>
    </w:p>
    <w:p w:rsidR="009E0FB3" w:rsidRPr="007124E9" w:rsidRDefault="003E3D1B" w:rsidP="00CB6434">
      <w:pPr>
        <w:pStyle w:val="PA"/>
        <w:ind w:firstLine="0"/>
        <w:rPr>
          <w:b/>
        </w:rPr>
      </w:pPr>
      <w:r>
        <w:rPr>
          <w:b/>
        </w:rPr>
        <w:br/>
      </w:r>
      <w:r w:rsidR="00CB6434">
        <w:rPr>
          <w:b/>
        </w:rPr>
        <w:t xml:space="preserve">  </w:t>
      </w:r>
      <w:r w:rsidR="009E0FB3">
        <w:rPr>
          <w:b/>
        </w:rPr>
        <w:t>856</w:t>
      </w:r>
      <w:r w:rsidR="005F15D6">
        <w:rPr>
          <w:b/>
        </w:rPr>
        <w:t>4</w:t>
      </w:r>
      <w:r w:rsidR="009E0FB3">
        <w:rPr>
          <w:b/>
        </w:rPr>
        <w:t>.03</w:t>
      </w:r>
      <w:r w:rsidR="00CB6434">
        <w:rPr>
          <w:b/>
        </w:rPr>
        <w:t>.</w:t>
      </w:r>
      <w:r w:rsidR="009E0FB3">
        <w:rPr>
          <w:b/>
        </w:rPr>
        <w:t xml:space="preserve"> Can </w:t>
      </w:r>
      <w:r w:rsidR="00474F32">
        <w:rPr>
          <w:b/>
        </w:rPr>
        <w:t>excess net investment income losses be used to reduce other net investment income</w:t>
      </w:r>
      <w:r w:rsidR="009E0FB3">
        <w:rPr>
          <w:b/>
        </w:rPr>
        <w:t>?</w:t>
      </w:r>
    </w:p>
    <w:p w:rsidR="009E115A" w:rsidRDefault="00CB6434" w:rsidP="00474F32">
      <w:pPr>
        <w:ind w:firstLine="288"/>
        <w:jc w:val="both"/>
        <w:rPr>
          <w:rFonts w:ascii="Perpetua" w:hAnsi="Perpetua"/>
          <w:sz w:val="24"/>
          <w:szCs w:val="24"/>
        </w:rPr>
      </w:pPr>
      <w:r>
        <w:rPr>
          <w:rFonts w:ascii="Perpetua" w:hAnsi="Perpetua"/>
          <w:sz w:val="24"/>
          <w:szCs w:val="24"/>
        </w:rPr>
        <w:t xml:space="preserve">Yes.  </w:t>
      </w:r>
      <w:r w:rsidR="00474F32">
        <w:rPr>
          <w:rFonts w:ascii="Perpetua" w:hAnsi="Perpetua"/>
          <w:sz w:val="24"/>
          <w:szCs w:val="24"/>
        </w:rPr>
        <w:t>As discussed in Q 856</w:t>
      </w:r>
      <w:r w:rsidR="005F15D6">
        <w:rPr>
          <w:rFonts w:ascii="Perpetua" w:hAnsi="Perpetua"/>
          <w:sz w:val="24"/>
          <w:szCs w:val="24"/>
        </w:rPr>
        <w:t>4</w:t>
      </w:r>
      <w:r w:rsidR="00474F32">
        <w:rPr>
          <w:rFonts w:ascii="Perpetua" w:hAnsi="Perpetua"/>
          <w:sz w:val="24"/>
          <w:szCs w:val="24"/>
        </w:rPr>
        <w:t xml:space="preserve">.02, the offsetting of net investment income losses against net investment income gains can never result in a “net loss.”  However, </w:t>
      </w:r>
      <w:r w:rsidR="0020604F">
        <w:rPr>
          <w:rFonts w:ascii="Perpetua" w:hAnsi="Perpetua"/>
          <w:sz w:val="24"/>
          <w:szCs w:val="24"/>
        </w:rPr>
        <w:t xml:space="preserve">pursuant to </w:t>
      </w:r>
      <w:r w:rsidR="00CD773E" w:rsidRPr="00474F32">
        <w:rPr>
          <w:rFonts w:ascii="Perpetua" w:hAnsi="Perpetua"/>
          <w:sz w:val="24"/>
          <w:szCs w:val="24"/>
        </w:rPr>
        <w:t>the final regulations</w:t>
      </w:r>
      <w:r w:rsidR="0020604F">
        <w:rPr>
          <w:rFonts w:ascii="Perpetua" w:hAnsi="Perpetua"/>
          <w:sz w:val="24"/>
          <w:szCs w:val="24"/>
        </w:rPr>
        <w:t>, excess losses may be</w:t>
      </w:r>
      <w:r w:rsidR="00CD773E" w:rsidRPr="00474F32">
        <w:rPr>
          <w:rFonts w:ascii="Perpetua" w:hAnsi="Perpetua"/>
          <w:sz w:val="24"/>
          <w:szCs w:val="24"/>
        </w:rPr>
        <w:t xml:space="preserve"> used to reduce other net investment income provided those losses </w:t>
      </w:r>
      <w:r w:rsidR="00734DAD">
        <w:rPr>
          <w:rFonts w:ascii="Perpetua" w:hAnsi="Perpetua"/>
          <w:sz w:val="24"/>
          <w:szCs w:val="24"/>
        </w:rPr>
        <w:t>were deducted i</w:t>
      </w:r>
      <w:r w:rsidR="00CD773E" w:rsidRPr="00474F32">
        <w:rPr>
          <w:rFonts w:ascii="Perpetua" w:hAnsi="Perpetua"/>
          <w:sz w:val="24"/>
          <w:szCs w:val="24"/>
        </w:rPr>
        <w:t>n the computation of regular income tax.</w:t>
      </w:r>
      <w:r w:rsidR="009E115A">
        <w:rPr>
          <w:rFonts w:ascii="Perpetua" w:hAnsi="Perpetua"/>
          <w:sz w:val="24"/>
          <w:szCs w:val="24"/>
        </w:rPr>
        <w:t xml:space="preserve">  In other words, the loss must be deductible for regular income tax purposes for it to be deducible in this context.</w:t>
      </w:r>
      <w:r w:rsidR="00B34441">
        <w:rPr>
          <w:rStyle w:val="FootnoteReference"/>
          <w:rFonts w:ascii="Perpetua" w:hAnsi="Perpetua"/>
          <w:sz w:val="24"/>
          <w:szCs w:val="24"/>
        </w:rPr>
        <w:footnoteReference w:id="6"/>
      </w:r>
    </w:p>
    <w:p w:rsidR="00CD773E" w:rsidRPr="005F15D6" w:rsidRDefault="009E115A" w:rsidP="00474F32">
      <w:pPr>
        <w:ind w:firstLine="288"/>
        <w:jc w:val="both"/>
        <w:rPr>
          <w:rFonts w:ascii="Perpetua" w:hAnsi="Perpetua"/>
          <w:sz w:val="24"/>
          <w:szCs w:val="24"/>
        </w:rPr>
      </w:pPr>
      <w:r w:rsidRPr="005F15D6">
        <w:rPr>
          <w:rFonts w:ascii="Perpetua" w:hAnsi="Perpetua"/>
          <w:sz w:val="24"/>
          <w:szCs w:val="24"/>
        </w:rPr>
        <w:t xml:space="preserve"> </w:t>
      </w:r>
    </w:p>
    <w:p w:rsidR="009032A7" w:rsidRPr="005F15D6" w:rsidRDefault="009E115A" w:rsidP="009E115A">
      <w:pPr>
        <w:pStyle w:val="PA"/>
        <w:ind w:firstLine="153"/>
        <w:rPr>
          <w:rFonts w:ascii="Perpetua" w:eastAsia="MS Mincho" w:hAnsi="Perpetua"/>
          <w:b/>
          <w:szCs w:val="24"/>
        </w:rPr>
      </w:pPr>
      <w:r w:rsidRPr="005F15D6">
        <w:rPr>
          <w:i/>
          <w:szCs w:val="24"/>
        </w:rPr>
        <w:t xml:space="preserve">Example: </w:t>
      </w:r>
      <w:r w:rsidRPr="005F15D6">
        <w:rPr>
          <w:szCs w:val="24"/>
        </w:rPr>
        <w:t>Iris, a single taxpayer has $125,000 of interest and dividends, $60,000 of ordinary losses from a trade or business in which</w:t>
      </w:r>
      <w:r w:rsidR="006B35A9" w:rsidRPr="005F15D6">
        <w:rPr>
          <w:szCs w:val="24"/>
        </w:rPr>
        <w:t xml:space="preserve"> Iris</w:t>
      </w:r>
      <w:r w:rsidRPr="005F15D6">
        <w:rPr>
          <w:szCs w:val="24"/>
        </w:rPr>
        <w:t xml:space="preserve"> does not materially participate and long-term capital gain from the sale of undeveloped land.  For purposes of IRC Section 1411(c</w:t>
      </w:r>
      <w:proofErr w:type="gramStart"/>
      <w:r w:rsidRPr="005F15D6">
        <w:rPr>
          <w:szCs w:val="24"/>
        </w:rPr>
        <w:t>)(</w:t>
      </w:r>
      <w:proofErr w:type="gramEnd"/>
      <w:r w:rsidRPr="005F15D6">
        <w:rPr>
          <w:szCs w:val="24"/>
        </w:rPr>
        <w:t xml:space="preserve">1)(A)(iii), the net long-term capital gain </w:t>
      </w:r>
      <w:r w:rsidR="009032A7" w:rsidRPr="005F15D6">
        <w:rPr>
          <w:szCs w:val="24"/>
        </w:rPr>
        <w:t xml:space="preserve">is </w:t>
      </w:r>
      <w:r w:rsidRPr="005F15D6">
        <w:rPr>
          <w:szCs w:val="24"/>
        </w:rPr>
        <w:t xml:space="preserve">net investment income gain because </w:t>
      </w:r>
      <w:r w:rsidR="006B35A9" w:rsidRPr="005F15D6">
        <w:rPr>
          <w:szCs w:val="24"/>
        </w:rPr>
        <w:t>the property was held for investment and there is no trade or business involved.  The $60,000 ordinary losses are net investment income losses because the underlying property was held by a trade or business in which Iris did not materially participate.  A</w:t>
      </w:r>
      <w:r w:rsidR="0020604F" w:rsidRPr="005F15D6">
        <w:rPr>
          <w:szCs w:val="24"/>
        </w:rPr>
        <w:t xml:space="preserve">s a result of netting the $60,000 of ordinary losses against the $50,000 of long-term capital gain, there is an excess loss of $10,000.  </w:t>
      </w:r>
      <w:r w:rsidR="006B35A9" w:rsidRPr="005F15D6">
        <w:rPr>
          <w:szCs w:val="24"/>
        </w:rPr>
        <w:t xml:space="preserve">Assuming the excess loss </w:t>
      </w:r>
      <w:r w:rsidR="00B34441" w:rsidRPr="005F15D6">
        <w:rPr>
          <w:szCs w:val="24"/>
        </w:rPr>
        <w:t>is</w:t>
      </w:r>
      <w:r w:rsidR="00734DAD" w:rsidRPr="005F15D6">
        <w:rPr>
          <w:szCs w:val="24"/>
        </w:rPr>
        <w:t xml:space="preserve"> deducted </w:t>
      </w:r>
      <w:r w:rsidR="006B35A9" w:rsidRPr="005F15D6">
        <w:rPr>
          <w:szCs w:val="24"/>
        </w:rPr>
        <w:t xml:space="preserve">for regular income tax purposes, the final regulations allow that amount </w:t>
      </w:r>
      <w:r w:rsidR="006B35A9" w:rsidRPr="005F15D6">
        <w:rPr>
          <w:szCs w:val="24"/>
        </w:rPr>
        <w:lastRenderedPageBreak/>
        <w:t xml:space="preserve">to be deducted against the </w:t>
      </w:r>
      <w:r w:rsidR="001D4B32" w:rsidRPr="005F15D6">
        <w:rPr>
          <w:szCs w:val="24"/>
        </w:rPr>
        <w:t xml:space="preserve">Iris’ other net investment income, i.e., </w:t>
      </w:r>
      <w:r w:rsidR="006B35A9" w:rsidRPr="005F15D6">
        <w:rPr>
          <w:szCs w:val="24"/>
        </w:rPr>
        <w:t>$125,000 of interest and dividend net investment income (includible under IRC Section 1411(c)(1)(A)(</w:t>
      </w:r>
      <w:proofErr w:type="spellStart"/>
      <w:r w:rsidR="006B35A9" w:rsidRPr="005F15D6">
        <w:rPr>
          <w:szCs w:val="24"/>
        </w:rPr>
        <w:t>i</w:t>
      </w:r>
      <w:proofErr w:type="spellEnd"/>
      <w:r w:rsidR="006B35A9" w:rsidRPr="005F15D6">
        <w:rPr>
          <w:szCs w:val="24"/>
        </w:rPr>
        <w:t>))</w:t>
      </w:r>
      <w:r w:rsidR="009032A7" w:rsidRPr="005F15D6">
        <w:rPr>
          <w:szCs w:val="24"/>
        </w:rPr>
        <w:t>.</w:t>
      </w:r>
      <w:r w:rsidR="00B34441" w:rsidRPr="005F15D6">
        <w:rPr>
          <w:rStyle w:val="FootnoteReference"/>
          <w:szCs w:val="24"/>
        </w:rPr>
        <w:footnoteReference w:id="7"/>
      </w:r>
      <w:r w:rsidRPr="005F15D6">
        <w:rPr>
          <w:rFonts w:ascii="Perpetua" w:eastAsia="MS Mincho" w:hAnsi="Perpetua"/>
          <w:b/>
          <w:szCs w:val="24"/>
        </w:rPr>
        <w:t xml:space="preserve"> </w:t>
      </w:r>
      <w:r w:rsidR="009032A7" w:rsidRPr="005F15D6">
        <w:rPr>
          <w:rFonts w:ascii="Perpetua" w:eastAsia="MS Mincho" w:hAnsi="Perpetua"/>
          <w:b/>
          <w:szCs w:val="24"/>
        </w:rPr>
        <w:t xml:space="preserve"> </w:t>
      </w:r>
    </w:p>
    <w:p w:rsidR="009E115A" w:rsidRPr="005F15D6" w:rsidRDefault="005339C1" w:rsidP="009E115A">
      <w:pPr>
        <w:pStyle w:val="PA"/>
        <w:ind w:firstLine="153"/>
        <w:rPr>
          <w:szCs w:val="24"/>
        </w:rPr>
      </w:pPr>
      <w:r w:rsidRPr="005F15D6">
        <w:rPr>
          <w:rFonts w:ascii="Perpetua" w:eastAsia="MS Mincho" w:hAnsi="Perpetua"/>
          <w:szCs w:val="24"/>
        </w:rPr>
        <w:t xml:space="preserve">So in the end, the entire amount of </w:t>
      </w:r>
      <w:r w:rsidR="009032A7" w:rsidRPr="005F15D6">
        <w:rPr>
          <w:rFonts w:ascii="Perpetua" w:eastAsia="MS Mincho" w:hAnsi="Perpetua"/>
          <w:szCs w:val="24"/>
        </w:rPr>
        <w:t xml:space="preserve">$60,000 of net investment income loss was </w:t>
      </w:r>
      <w:r w:rsidRPr="005F15D6">
        <w:rPr>
          <w:rFonts w:ascii="Perpetua" w:eastAsia="MS Mincho" w:hAnsi="Perpetua"/>
          <w:szCs w:val="24"/>
        </w:rPr>
        <w:t xml:space="preserve">fully </w:t>
      </w:r>
      <w:r w:rsidR="009032A7" w:rsidRPr="005F15D6">
        <w:rPr>
          <w:rFonts w:ascii="Perpetua" w:eastAsia="MS Mincho" w:hAnsi="Perpetua"/>
          <w:szCs w:val="24"/>
        </w:rPr>
        <w:t xml:space="preserve">deductible against some type of net investment income.  First, $50,000 of the loss offset $50,000 of long-term capital gain.  Second, the excess loss, $10,000 was deductible against the $125,000 of interest and dividends, resulting in $115,000 of net investment income.  </w:t>
      </w:r>
    </w:p>
    <w:p w:rsidR="00B611F0" w:rsidRPr="0067134B" w:rsidRDefault="00B611F0" w:rsidP="00B611F0">
      <w:pPr>
        <w:rPr>
          <w:rFonts w:ascii="Perpetua" w:hAnsi="Perpetua"/>
          <w:sz w:val="24"/>
          <w:szCs w:val="24"/>
        </w:rPr>
      </w:pPr>
    </w:p>
    <w:sectPr w:rsidR="00B611F0" w:rsidRPr="0067134B" w:rsidSect="00271A21">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43" w:rsidRDefault="00AB1443" w:rsidP="00536B05">
      <w:r>
        <w:separator/>
      </w:r>
    </w:p>
  </w:endnote>
  <w:endnote w:type="continuationSeparator" w:id="0">
    <w:p w:rsidR="00AB1443" w:rsidRDefault="00AB1443"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43" w:rsidRDefault="00AB1443" w:rsidP="00536B05">
      <w:r>
        <w:separator/>
      </w:r>
    </w:p>
  </w:footnote>
  <w:footnote w:type="continuationSeparator" w:id="0">
    <w:p w:rsidR="00AB1443" w:rsidRDefault="00AB1443" w:rsidP="00536B05">
      <w:r>
        <w:continuationSeparator/>
      </w:r>
    </w:p>
  </w:footnote>
  <w:footnote w:id="1">
    <w:p w:rsidR="00CB6434" w:rsidRPr="00B611F0" w:rsidRDefault="00CB6434" w:rsidP="00CB6434">
      <w:pPr>
        <w:pStyle w:val="PQ"/>
      </w:pPr>
      <w:r w:rsidRPr="00B611F0">
        <w:rPr>
          <w:rStyle w:val="FootnoteReference"/>
          <w:vertAlign w:val="baseline"/>
        </w:rPr>
        <w:footnoteRef/>
      </w:r>
      <w:r>
        <w:t>.</w:t>
      </w:r>
      <w:r>
        <w:tab/>
        <w:t xml:space="preserve">Treas. </w:t>
      </w:r>
      <w:proofErr w:type="spellStart"/>
      <w:r>
        <w:t>Regs</w:t>
      </w:r>
      <w:proofErr w:type="spellEnd"/>
      <w:r>
        <w:t xml:space="preserve">. </w:t>
      </w:r>
      <w:r w:rsidRPr="007B0BC4">
        <w:t>§§</w:t>
      </w:r>
      <w:r>
        <w:t>1.1411-4(a</w:t>
      </w:r>
      <w:proofErr w:type="gramStart"/>
      <w:r>
        <w:t>)(</w:t>
      </w:r>
      <w:proofErr w:type="gramEnd"/>
      <w:r>
        <w:t xml:space="preserve">1)(iii), 1.1411(d) (see examples). </w:t>
      </w:r>
    </w:p>
  </w:footnote>
  <w:footnote w:id="2">
    <w:p w:rsidR="003E3D1B" w:rsidRPr="00B611F0" w:rsidRDefault="003E3D1B" w:rsidP="003E3D1B">
      <w:pPr>
        <w:pStyle w:val="PQ"/>
      </w:pPr>
      <w:r w:rsidRPr="00B611F0">
        <w:rPr>
          <w:rStyle w:val="FootnoteReference"/>
          <w:vertAlign w:val="baseline"/>
        </w:rPr>
        <w:footnoteRef/>
      </w:r>
      <w:r>
        <w:t>.  IRC Sec. 1211(b)</w:t>
      </w:r>
      <w:proofErr w:type="gramStart"/>
      <w:r>
        <w:t>.</w:t>
      </w:r>
      <w:r w:rsidRPr="00B611F0">
        <w:t>.</w:t>
      </w:r>
      <w:proofErr w:type="gramEnd"/>
    </w:p>
  </w:footnote>
  <w:footnote w:id="3">
    <w:p w:rsidR="00734DAD" w:rsidRDefault="00734DAD">
      <w:pPr>
        <w:pStyle w:val="FootnoteText"/>
      </w:pPr>
      <w:r>
        <w:rPr>
          <w:rStyle w:val="FootnoteReference"/>
        </w:rPr>
        <w:footnoteRef/>
      </w:r>
      <w:r>
        <w:t xml:space="preserve"> </w:t>
      </w:r>
      <w:r w:rsidR="005D2A76">
        <w:rPr>
          <w:sz w:val="16"/>
          <w:szCs w:val="16"/>
        </w:rPr>
        <w:t>Treas. Reg. §1.1411-4(d</w:t>
      </w:r>
      <w:proofErr w:type="gramStart"/>
      <w:r w:rsidR="005D2A76">
        <w:rPr>
          <w:sz w:val="16"/>
          <w:szCs w:val="16"/>
        </w:rPr>
        <w:t>)(</w:t>
      </w:r>
      <w:proofErr w:type="gramEnd"/>
      <w:r w:rsidR="005D2A76">
        <w:rPr>
          <w:sz w:val="16"/>
          <w:szCs w:val="16"/>
        </w:rPr>
        <w:t>2).</w:t>
      </w:r>
    </w:p>
  </w:footnote>
  <w:footnote w:id="4">
    <w:p w:rsidR="0090065D" w:rsidRDefault="0090065D">
      <w:pPr>
        <w:pStyle w:val="FootnoteText"/>
      </w:pPr>
      <w:r>
        <w:rPr>
          <w:rStyle w:val="FootnoteReference"/>
        </w:rPr>
        <w:footnoteRef/>
      </w:r>
      <w:r>
        <w:t xml:space="preserve"> </w:t>
      </w:r>
      <w:r w:rsidR="00734DAD" w:rsidRPr="002D5F45">
        <w:rPr>
          <w:rFonts w:ascii="Perpetua" w:hAnsi="Perpetua"/>
          <w:sz w:val="16"/>
          <w:szCs w:val="16"/>
        </w:rPr>
        <w:t>Tre</w:t>
      </w:r>
      <w:r w:rsidR="005D2A76">
        <w:rPr>
          <w:rFonts w:ascii="Perpetua" w:hAnsi="Perpetua"/>
          <w:sz w:val="16"/>
          <w:szCs w:val="16"/>
        </w:rPr>
        <w:t>as. Reg. §1.1411-4(d</w:t>
      </w:r>
      <w:proofErr w:type="gramStart"/>
      <w:r w:rsidR="005D2A76">
        <w:rPr>
          <w:rFonts w:ascii="Perpetua" w:hAnsi="Perpetua"/>
          <w:sz w:val="16"/>
          <w:szCs w:val="16"/>
        </w:rPr>
        <w:t>)(</w:t>
      </w:r>
      <w:proofErr w:type="gramEnd"/>
      <w:r w:rsidR="005D2A76">
        <w:rPr>
          <w:rFonts w:ascii="Perpetua" w:hAnsi="Perpetua"/>
          <w:sz w:val="16"/>
          <w:szCs w:val="16"/>
        </w:rPr>
        <w:t>2).</w:t>
      </w:r>
    </w:p>
  </w:footnote>
  <w:footnote w:id="5">
    <w:p w:rsidR="00734DAD" w:rsidRDefault="00734DAD">
      <w:pPr>
        <w:pStyle w:val="FootnoteText"/>
      </w:pPr>
      <w:r>
        <w:rPr>
          <w:rStyle w:val="FootnoteReference"/>
        </w:rPr>
        <w:footnoteRef/>
      </w:r>
      <w:r>
        <w:t xml:space="preserve"> </w:t>
      </w:r>
      <w:r w:rsidRPr="00A233BC">
        <w:rPr>
          <w:rFonts w:ascii="Perpetua" w:hAnsi="Perpetua"/>
          <w:sz w:val="16"/>
          <w:szCs w:val="16"/>
        </w:rPr>
        <w:t xml:space="preserve">Treas. Reg. </w:t>
      </w:r>
      <w:r w:rsidRPr="00A233BC">
        <w:rPr>
          <w:rFonts w:ascii="Perpetua" w:hAnsi="Perpetua"/>
          <w:color w:val="000000"/>
          <w:sz w:val="16"/>
          <w:szCs w:val="16"/>
        </w:rPr>
        <w:t>§</w:t>
      </w:r>
      <w:r w:rsidR="00B34441">
        <w:rPr>
          <w:rFonts w:ascii="Perpetua" w:hAnsi="Perpetua"/>
          <w:sz w:val="16"/>
          <w:szCs w:val="16"/>
        </w:rPr>
        <w:t>1.1411-4(f</w:t>
      </w:r>
      <w:proofErr w:type="gramStart"/>
      <w:r w:rsidR="00B34441">
        <w:rPr>
          <w:rFonts w:ascii="Perpetua" w:hAnsi="Perpetua"/>
          <w:sz w:val="16"/>
          <w:szCs w:val="16"/>
        </w:rPr>
        <w:t>)(</w:t>
      </w:r>
      <w:proofErr w:type="gramEnd"/>
      <w:r w:rsidR="00B34441">
        <w:rPr>
          <w:rFonts w:ascii="Perpetua" w:hAnsi="Perpetua"/>
          <w:sz w:val="16"/>
          <w:szCs w:val="16"/>
        </w:rPr>
        <w:t>1).</w:t>
      </w:r>
    </w:p>
  </w:footnote>
  <w:footnote w:id="6">
    <w:p w:rsidR="00B34441" w:rsidRDefault="00B34441">
      <w:pPr>
        <w:pStyle w:val="FootnoteText"/>
      </w:pPr>
      <w:r>
        <w:rPr>
          <w:rStyle w:val="FootnoteReference"/>
        </w:rPr>
        <w:footnoteRef/>
      </w:r>
      <w:r>
        <w:t xml:space="preserve"> </w:t>
      </w:r>
      <w:r w:rsidRPr="00A233BC">
        <w:rPr>
          <w:rFonts w:ascii="Perpetua" w:hAnsi="Perpetua"/>
          <w:sz w:val="16"/>
          <w:szCs w:val="16"/>
        </w:rPr>
        <w:t xml:space="preserve">Treas. Reg. </w:t>
      </w:r>
      <w:r w:rsidRPr="00A233BC">
        <w:rPr>
          <w:rFonts w:ascii="Perpetua" w:hAnsi="Perpetua"/>
          <w:color w:val="000000"/>
          <w:sz w:val="16"/>
          <w:szCs w:val="16"/>
        </w:rPr>
        <w:t>§</w:t>
      </w:r>
      <w:r>
        <w:rPr>
          <w:rFonts w:ascii="Perpetua" w:hAnsi="Perpetua"/>
          <w:sz w:val="16"/>
          <w:szCs w:val="16"/>
        </w:rPr>
        <w:t>1.1411-4(f</w:t>
      </w:r>
      <w:proofErr w:type="gramStart"/>
      <w:r>
        <w:rPr>
          <w:rFonts w:ascii="Perpetua" w:hAnsi="Perpetua"/>
          <w:sz w:val="16"/>
          <w:szCs w:val="16"/>
        </w:rPr>
        <w:t>)(</w:t>
      </w:r>
      <w:proofErr w:type="gramEnd"/>
      <w:r>
        <w:rPr>
          <w:rFonts w:ascii="Perpetua" w:hAnsi="Perpetua"/>
          <w:sz w:val="16"/>
          <w:szCs w:val="16"/>
        </w:rPr>
        <w:t>1).</w:t>
      </w:r>
    </w:p>
  </w:footnote>
  <w:footnote w:id="7">
    <w:p w:rsidR="00B34441" w:rsidRDefault="00B34441">
      <w:pPr>
        <w:pStyle w:val="FootnoteText"/>
      </w:pPr>
      <w:r>
        <w:rPr>
          <w:rStyle w:val="FootnoteReference"/>
        </w:rPr>
        <w:footnoteRef/>
      </w:r>
      <w:r>
        <w:t xml:space="preserve"> </w:t>
      </w:r>
      <w:r w:rsidRPr="00A233BC">
        <w:rPr>
          <w:rFonts w:ascii="Perpetua" w:hAnsi="Perpetua"/>
          <w:sz w:val="16"/>
          <w:szCs w:val="16"/>
        </w:rPr>
        <w:t xml:space="preserve">Treas. Reg. </w:t>
      </w:r>
      <w:r w:rsidRPr="00A233BC">
        <w:rPr>
          <w:rFonts w:ascii="Perpetua" w:hAnsi="Perpetua"/>
          <w:color w:val="000000"/>
          <w:sz w:val="16"/>
          <w:szCs w:val="16"/>
        </w:rPr>
        <w:t>§</w:t>
      </w:r>
      <w:r>
        <w:rPr>
          <w:rFonts w:ascii="Perpetua" w:hAnsi="Perpetua"/>
          <w:sz w:val="16"/>
          <w:szCs w:val="16"/>
        </w:rPr>
        <w:t>1.1411-4(h).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43"/>
    <w:multiLevelType w:val="hybridMultilevel"/>
    <w:tmpl w:val="98BAA1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6D9"/>
    <w:multiLevelType w:val="hybridMultilevel"/>
    <w:tmpl w:val="45F2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BDD15DF"/>
    <w:multiLevelType w:val="hybridMultilevel"/>
    <w:tmpl w:val="52502E9C"/>
    <w:lvl w:ilvl="0" w:tplc="AD08B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2"/>
  </w:num>
  <w:num w:numId="2">
    <w:abstractNumId w:val="17"/>
  </w:num>
  <w:num w:numId="3">
    <w:abstractNumId w:val="6"/>
  </w:num>
  <w:num w:numId="4">
    <w:abstractNumId w:val="9"/>
  </w:num>
  <w:num w:numId="5">
    <w:abstractNumId w:val="14"/>
  </w:num>
  <w:num w:numId="6">
    <w:abstractNumId w:val="4"/>
  </w:num>
  <w:num w:numId="7">
    <w:abstractNumId w:val="15"/>
  </w:num>
  <w:num w:numId="8">
    <w:abstractNumId w:val="1"/>
  </w:num>
  <w:num w:numId="9">
    <w:abstractNumId w:val="8"/>
  </w:num>
  <w:num w:numId="10">
    <w:abstractNumId w:val="19"/>
  </w:num>
  <w:num w:numId="11">
    <w:abstractNumId w:val="7"/>
  </w:num>
  <w:num w:numId="12">
    <w:abstractNumId w:val="13"/>
  </w:num>
  <w:num w:numId="13">
    <w:abstractNumId w:val="2"/>
  </w:num>
  <w:num w:numId="14">
    <w:abstractNumId w:val="3"/>
  </w:num>
  <w:num w:numId="15">
    <w:abstractNumId w:val="16"/>
  </w:num>
  <w:num w:numId="16">
    <w:abstractNumId w:val="18"/>
  </w:num>
  <w:num w:numId="17">
    <w:abstractNumId w:val="11"/>
  </w:num>
  <w:num w:numId="18">
    <w:abstractNumId w:val="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12D94"/>
    <w:rsid w:val="00025E46"/>
    <w:rsid w:val="0003025A"/>
    <w:rsid w:val="00060618"/>
    <w:rsid w:val="0006346C"/>
    <w:rsid w:val="00065361"/>
    <w:rsid w:val="00094E50"/>
    <w:rsid w:val="000A37F8"/>
    <w:rsid w:val="000C1C63"/>
    <w:rsid w:val="000D179D"/>
    <w:rsid w:val="000D7E02"/>
    <w:rsid w:val="000E6CDA"/>
    <w:rsid w:val="00100BAD"/>
    <w:rsid w:val="00104208"/>
    <w:rsid w:val="00110070"/>
    <w:rsid w:val="00114A17"/>
    <w:rsid w:val="00114F7E"/>
    <w:rsid w:val="0011643A"/>
    <w:rsid w:val="00133EA9"/>
    <w:rsid w:val="00166A3D"/>
    <w:rsid w:val="00170A4B"/>
    <w:rsid w:val="001952C1"/>
    <w:rsid w:val="001A5CC6"/>
    <w:rsid w:val="001C2D8B"/>
    <w:rsid w:val="001D4B32"/>
    <w:rsid w:val="001D533C"/>
    <w:rsid w:val="001E1A84"/>
    <w:rsid w:val="001E59F3"/>
    <w:rsid w:val="001F52F4"/>
    <w:rsid w:val="0020604F"/>
    <w:rsid w:val="00236EBA"/>
    <w:rsid w:val="00257104"/>
    <w:rsid w:val="00264B2D"/>
    <w:rsid w:val="00267E98"/>
    <w:rsid w:val="00271A21"/>
    <w:rsid w:val="00282D04"/>
    <w:rsid w:val="0028552C"/>
    <w:rsid w:val="00296983"/>
    <w:rsid w:val="002B3FE0"/>
    <w:rsid w:val="002C5702"/>
    <w:rsid w:val="002C7FE6"/>
    <w:rsid w:val="002D5F45"/>
    <w:rsid w:val="00307615"/>
    <w:rsid w:val="00313356"/>
    <w:rsid w:val="003136E3"/>
    <w:rsid w:val="00317415"/>
    <w:rsid w:val="00365BC3"/>
    <w:rsid w:val="003C6990"/>
    <w:rsid w:val="003D7708"/>
    <w:rsid w:val="003E3D1B"/>
    <w:rsid w:val="003F3519"/>
    <w:rsid w:val="003F5AA4"/>
    <w:rsid w:val="00424FBB"/>
    <w:rsid w:val="00437CBE"/>
    <w:rsid w:val="00442D86"/>
    <w:rsid w:val="00455D1D"/>
    <w:rsid w:val="004656E2"/>
    <w:rsid w:val="00474F32"/>
    <w:rsid w:val="004A4C0D"/>
    <w:rsid w:val="004A7339"/>
    <w:rsid w:val="004B1350"/>
    <w:rsid w:val="004F1F2A"/>
    <w:rsid w:val="004F6C3F"/>
    <w:rsid w:val="00516BDA"/>
    <w:rsid w:val="005339C1"/>
    <w:rsid w:val="00536354"/>
    <w:rsid w:val="00536B05"/>
    <w:rsid w:val="0055218C"/>
    <w:rsid w:val="0055609B"/>
    <w:rsid w:val="0056770F"/>
    <w:rsid w:val="0059765D"/>
    <w:rsid w:val="005B398C"/>
    <w:rsid w:val="005C50ED"/>
    <w:rsid w:val="005D2A76"/>
    <w:rsid w:val="005E2050"/>
    <w:rsid w:val="005F15D6"/>
    <w:rsid w:val="005F4EA6"/>
    <w:rsid w:val="005F747A"/>
    <w:rsid w:val="005F7C9B"/>
    <w:rsid w:val="006149FE"/>
    <w:rsid w:val="00623E77"/>
    <w:rsid w:val="006656BE"/>
    <w:rsid w:val="0067134B"/>
    <w:rsid w:val="006A2941"/>
    <w:rsid w:val="006B29BA"/>
    <w:rsid w:val="006B35A9"/>
    <w:rsid w:val="006B79C7"/>
    <w:rsid w:val="006C0B74"/>
    <w:rsid w:val="006F4200"/>
    <w:rsid w:val="006F4885"/>
    <w:rsid w:val="007124E9"/>
    <w:rsid w:val="00732709"/>
    <w:rsid w:val="00734DAD"/>
    <w:rsid w:val="00746177"/>
    <w:rsid w:val="007726E1"/>
    <w:rsid w:val="00777AF6"/>
    <w:rsid w:val="007948D7"/>
    <w:rsid w:val="007A4E80"/>
    <w:rsid w:val="007B0BC4"/>
    <w:rsid w:val="007C1E0C"/>
    <w:rsid w:val="007C6582"/>
    <w:rsid w:val="007D73C8"/>
    <w:rsid w:val="007D7788"/>
    <w:rsid w:val="007F000B"/>
    <w:rsid w:val="00801263"/>
    <w:rsid w:val="0081706A"/>
    <w:rsid w:val="008375BC"/>
    <w:rsid w:val="00853ACB"/>
    <w:rsid w:val="00856358"/>
    <w:rsid w:val="008B16D5"/>
    <w:rsid w:val="008B183A"/>
    <w:rsid w:val="008B47CF"/>
    <w:rsid w:val="0090065D"/>
    <w:rsid w:val="009032A7"/>
    <w:rsid w:val="00917D5C"/>
    <w:rsid w:val="0093676A"/>
    <w:rsid w:val="00953C6E"/>
    <w:rsid w:val="00994A42"/>
    <w:rsid w:val="009B2364"/>
    <w:rsid w:val="009E0FB3"/>
    <w:rsid w:val="009E115A"/>
    <w:rsid w:val="009F3516"/>
    <w:rsid w:val="00A02913"/>
    <w:rsid w:val="00A02AF1"/>
    <w:rsid w:val="00A06D94"/>
    <w:rsid w:val="00A130A3"/>
    <w:rsid w:val="00A153DC"/>
    <w:rsid w:val="00A22ABD"/>
    <w:rsid w:val="00A43D8E"/>
    <w:rsid w:val="00A56136"/>
    <w:rsid w:val="00A804B9"/>
    <w:rsid w:val="00A922D5"/>
    <w:rsid w:val="00AB1443"/>
    <w:rsid w:val="00AC1D0D"/>
    <w:rsid w:val="00B306FA"/>
    <w:rsid w:val="00B34441"/>
    <w:rsid w:val="00B611F0"/>
    <w:rsid w:val="00B673E3"/>
    <w:rsid w:val="00B911B9"/>
    <w:rsid w:val="00B952C4"/>
    <w:rsid w:val="00BA5395"/>
    <w:rsid w:val="00BE216B"/>
    <w:rsid w:val="00BE5482"/>
    <w:rsid w:val="00BF0694"/>
    <w:rsid w:val="00C00ED3"/>
    <w:rsid w:val="00C107DC"/>
    <w:rsid w:val="00C20004"/>
    <w:rsid w:val="00C3023D"/>
    <w:rsid w:val="00C7171A"/>
    <w:rsid w:val="00C945AB"/>
    <w:rsid w:val="00CB5DE6"/>
    <w:rsid w:val="00CB6434"/>
    <w:rsid w:val="00CB6A20"/>
    <w:rsid w:val="00CB7994"/>
    <w:rsid w:val="00CD773E"/>
    <w:rsid w:val="00CF6BF9"/>
    <w:rsid w:val="00D0255A"/>
    <w:rsid w:val="00D279A1"/>
    <w:rsid w:val="00D34A75"/>
    <w:rsid w:val="00D45B13"/>
    <w:rsid w:val="00D519BA"/>
    <w:rsid w:val="00D54881"/>
    <w:rsid w:val="00D63101"/>
    <w:rsid w:val="00D655FB"/>
    <w:rsid w:val="00D81626"/>
    <w:rsid w:val="00D97308"/>
    <w:rsid w:val="00DD2422"/>
    <w:rsid w:val="00DF18F4"/>
    <w:rsid w:val="00DF44B2"/>
    <w:rsid w:val="00E019D6"/>
    <w:rsid w:val="00E35349"/>
    <w:rsid w:val="00E604DB"/>
    <w:rsid w:val="00E64400"/>
    <w:rsid w:val="00E76CBA"/>
    <w:rsid w:val="00E8050C"/>
    <w:rsid w:val="00E90801"/>
    <w:rsid w:val="00E94F6A"/>
    <w:rsid w:val="00EA088C"/>
    <w:rsid w:val="00EE7BE5"/>
    <w:rsid w:val="00EF384A"/>
    <w:rsid w:val="00F22DA6"/>
    <w:rsid w:val="00F43D0A"/>
    <w:rsid w:val="00F5790C"/>
    <w:rsid w:val="00F6559F"/>
    <w:rsid w:val="00F77101"/>
    <w:rsid w:val="00F97395"/>
    <w:rsid w:val="00FE1161"/>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8375BC"/>
    <w:rPr>
      <w:rFonts w:ascii="Perpetua Std" w:hAnsi="Perpetua Std"/>
    </w:rPr>
  </w:style>
  <w:style w:type="paragraph" w:styleId="Heading1">
    <w:name w:val="heading 1"/>
    <w:basedOn w:val="Normal"/>
    <w:next w:val="Normal"/>
    <w:link w:val="Heading1Char"/>
    <w:qFormat/>
    <w:rsid w:val="008375BC"/>
    <w:pPr>
      <w:keepNext/>
      <w:outlineLvl w:val="0"/>
    </w:pPr>
    <w:rPr>
      <w:b/>
    </w:rPr>
  </w:style>
  <w:style w:type="paragraph" w:styleId="Heading2">
    <w:name w:val="heading 2"/>
    <w:basedOn w:val="Normal"/>
    <w:next w:val="Normal"/>
    <w:link w:val="Heading2Char"/>
    <w:qFormat/>
    <w:rsid w:val="008375BC"/>
    <w:pPr>
      <w:keepNext/>
      <w:spacing w:before="240" w:after="60"/>
      <w:outlineLvl w:val="1"/>
    </w:pPr>
    <w:rPr>
      <w:rFonts w:ascii="Arial" w:hAnsi="Arial"/>
      <w:b/>
      <w:i/>
      <w:sz w:val="24"/>
    </w:rPr>
  </w:style>
  <w:style w:type="paragraph" w:styleId="Heading3">
    <w:name w:val="heading 3"/>
    <w:basedOn w:val="Normal"/>
    <w:next w:val="Normal"/>
    <w:link w:val="Heading3Char"/>
    <w:qFormat/>
    <w:rsid w:val="008375B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uiPriority w:val="34"/>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8375BC"/>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8375BC"/>
    <w:rPr>
      <w:vertAlign w:val="superscript"/>
    </w:rPr>
  </w:style>
  <w:style w:type="paragraph" w:customStyle="1" w:styleId="PA">
    <w:name w:val="PA"/>
    <w:next w:val="Normal"/>
    <w:link w:val="PAChar"/>
    <w:rsid w:val="008375BC"/>
    <w:pPr>
      <w:spacing w:after="240"/>
      <w:ind w:firstLine="288"/>
      <w:jc w:val="both"/>
    </w:pPr>
    <w:rPr>
      <w:rFonts w:ascii="Perpetua Std" w:hAnsi="Perpetua Std"/>
      <w:color w:val="000000"/>
      <w:sz w:val="24"/>
    </w:rPr>
  </w:style>
  <w:style w:type="character" w:customStyle="1" w:styleId="PAChar">
    <w:name w:val="PA Char"/>
    <w:link w:val="PA"/>
    <w:rsid w:val="008375BC"/>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8375BC"/>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8375BC"/>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8375BC"/>
    <w:pPr>
      <w:spacing w:before="144"/>
      <w:jc w:val="both"/>
    </w:pPr>
    <w:rPr>
      <w:noProof/>
    </w:rPr>
  </w:style>
  <w:style w:type="paragraph" w:customStyle="1" w:styleId="PB">
    <w:name w:val="PB"/>
    <w:rsid w:val="008375BC"/>
    <w:pPr>
      <w:spacing w:after="240"/>
      <w:jc w:val="both"/>
    </w:pPr>
    <w:rPr>
      <w:rFonts w:ascii="Perpetua Std" w:hAnsi="Perpetua Std"/>
      <w:color w:val="000000"/>
      <w:sz w:val="24"/>
    </w:rPr>
  </w:style>
  <w:style w:type="paragraph" w:customStyle="1" w:styleId="PC">
    <w:name w:val="PC"/>
    <w:rsid w:val="008375BC"/>
    <w:pPr>
      <w:tabs>
        <w:tab w:val="left" w:pos="720"/>
      </w:tabs>
      <w:spacing w:after="240"/>
      <w:ind w:left="720" w:hanging="360"/>
      <w:jc w:val="both"/>
    </w:pPr>
    <w:rPr>
      <w:rFonts w:ascii="Perpetua Std" w:hAnsi="Perpetua Std"/>
      <w:color w:val="000000"/>
      <w:sz w:val="24"/>
    </w:rPr>
  </w:style>
  <w:style w:type="paragraph" w:customStyle="1" w:styleId="PD">
    <w:name w:val="PD"/>
    <w:rsid w:val="008375BC"/>
    <w:pPr>
      <w:spacing w:after="240"/>
      <w:ind w:left="720" w:firstLine="288"/>
      <w:jc w:val="both"/>
    </w:pPr>
    <w:rPr>
      <w:rFonts w:ascii="Perpetua Std" w:hAnsi="Perpetua Std"/>
      <w:color w:val="000000"/>
      <w:sz w:val="24"/>
    </w:rPr>
  </w:style>
  <w:style w:type="paragraph" w:customStyle="1" w:styleId="PE">
    <w:name w:val="PE"/>
    <w:rsid w:val="008375BC"/>
    <w:pPr>
      <w:spacing w:after="240"/>
      <w:ind w:left="720"/>
      <w:jc w:val="both"/>
    </w:pPr>
    <w:rPr>
      <w:rFonts w:ascii="Perpetua Std" w:hAnsi="Perpetua Std"/>
      <w:color w:val="000000"/>
      <w:sz w:val="24"/>
    </w:rPr>
  </w:style>
  <w:style w:type="paragraph" w:customStyle="1" w:styleId="PF">
    <w:name w:val="PF"/>
    <w:rsid w:val="008375BC"/>
    <w:pPr>
      <w:tabs>
        <w:tab w:val="left" w:pos="1080"/>
      </w:tabs>
      <w:spacing w:after="240"/>
      <w:ind w:left="1080" w:hanging="360"/>
      <w:jc w:val="both"/>
    </w:pPr>
    <w:rPr>
      <w:rFonts w:ascii="Perpetua Std" w:hAnsi="Perpetua Std"/>
      <w:color w:val="000000"/>
      <w:sz w:val="24"/>
    </w:rPr>
  </w:style>
  <w:style w:type="paragraph" w:customStyle="1" w:styleId="PG">
    <w:name w:val="PG"/>
    <w:rsid w:val="008375BC"/>
    <w:pPr>
      <w:spacing w:after="240"/>
      <w:ind w:left="360"/>
      <w:jc w:val="both"/>
    </w:pPr>
    <w:rPr>
      <w:rFonts w:ascii="Perpetua Std" w:hAnsi="Perpetua Std"/>
      <w:color w:val="000000"/>
      <w:sz w:val="24"/>
    </w:rPr>
  </w:style>
  <w:style w:type="paragraph" w:customStyle="1" w:styleId="PH">
    <w:name w:val="PH"/>
    <w:rsid w:val="008375BC"/>
    <w:pPr>
      <w:tabs>
        <w:tab w:val="left" w:pos="360"/>
      </w:tabs>
      <w:spacing w:after="240"/>
      <w:ind w:left="360" w:hanging="360"/>
      <w:jc w:val="both"/>
    </w:pPr>
    <w:rPr>
      <w:rFonts w:ascii="Perpetua Std" w:hAnsi="Perpetua Std"/>
      <w:color w:val="000000"/>
      <w:sz w:val="24"/>
    </w:rPr>
  </w:style>
  <w:style w:type="paragraph" w:customStyle="1" w:styleId="PI">
    <w:name w:val="PI"/>
    <w:rsid w:val="008375BC"/>
    <w:pPr>
      <w:spacing w:after="240"/>
      <w:ind w:left="360" w:hanging="360"/>
      <w:jc w:val="both"/>
    </w:pPr>
    <w:rPr>
      <w:rFonts w:ascii="Perpetua Std" w:hAnsi="Perpetua Std"/>
      <w:color w:val="000000"/>
      <w:sz w:val="24"/>
    </w:rPr>
  </w:style>
  <w:style w:type="paragraph" w:customStyle="1" w:styleId="PK">
    <w:name w:val="PK"/>
    <w:rsid w:val="008375BC"/>
    <w:pPr>
      <w:spacing w:after="240"/>
      <w:ind w:left="360" w:firstLine="288"/>
      <w:jc w:val="both"/>
    </w:pPr>
    <w:rPr>
      <w:rFonts w:ascii="Perpetua Std" w:hAnsi="Perpetua Std"/>
      <w:color w:val="000000"/>
      <w:sz w:val="24"/>
    </w:rPr>
  </w:style>
  <w:style w:type="paragraph" w:customStyle="1" w:styleId="PL">
    <w:name w:val="PL"/>
    <w:rsid w:val="008375BC"/>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8375BC"/>
    <w:pPr>
      <w:spacing w:after="240"/>
      <w:ind w:left="432" w:right="432" w:firstLine="432"/>
      <w:jc w:val="both"/>
    </w:pPr>
    <w:rPr>
      <w:rFonts w:ascii="Minion Pro" w:hAnsi="Minion Pro"/>
    </w:rPr>
  </w:style>
  <w:style w:type="paragraph" w:customStyle="1" w:styleId="TOC">
    <w:name w:val="TOC"/>
    <w:autoRedefine/>
    <w:rsid w:val="008375BC"/>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8375BC"/>
    <w:pPr>
      <w:tabs>
        <w:tab w:val="clear" w:pos="8640"/>
        <w:tab w:val="left" w:pos="240"/>
        <w:tab w:val="left" w:pos="450"/>
        <w:tab w:val="right" w:leader="dot" w:pos="4680"/>
      </w:tabs>
      <w:ind w:left="0" w:firstLine="0"/>
    </w:pPr>
    <w:rPr>
      <w:sz w:val="20"/>
    </w:rPr>
  </w:style>
  <w:style w:type="paragraph" w:customStyle="1" w:styleId="PQ">
    <w:name w:val="PQ"/>
    <w:link w:val="PQChar"/>
    <w:rsid w:val="008375BC"/>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8375BC"/>
    <w:rPr>
      <w:rFonts w:ascii="Adobe Caslon Pro" w:hAnsi="Adobe Caslon Pro"/>
      <w:color w:val="000000"/>
      <w:sz w:val="14"/>
    </w:rPr>
  </w:style>
  <w:style w:type="paragraph" w:customStyle="1" w:styleId="HD">
    <w:name w:val="HD"/>
    <w:rsid w:val="008375BC"/>
    <w:pPr>
      <w:suppressAutoHyphens/>
      <w:spacing w:before="120"/>
      <w:jc w:val="center"/>
    </w:pPr>
    <w:rPr>
      <w:rFonts w:ascii="Helvetica LT Std" w:hAnsi="Helvetica LT Std"/>
      <w:sz w:val="26"/>
      <w:szCs w:val="18"/>
    </w:rPr>
  </w:style>
  <w:style w:type="paragraph" w:customStyle="1" w:styleId="PP">
    <w:name w:val="PP"/>
    <w:rsid w:val="008375BC"/>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8375BC"/>
    <w:pPr>
      <w:spacing w:before="120" w:after="120"/>
      <w:jc w:val="center"/>
    </w:pPr>
    <w:rPr>
      <w:rFonts w:ascii="Helvetica LT Std" w:hAnsi="Helvetica LT Std"/>
      <w:sz w:val="24"/>
    </w:rPr>
  </w:style>
  <w:style w:type="paragraph" w:customStyle="1" w:styleId="PN">
    <w:name w:val="PN"/>
    <w:rsid w:val="008375BC"/>
    <w:pPr>
      <w:spacing w:after="240"/>
      <w:ind w:left="720" w:firstLine="288"/>
      <w:jc w:val="both"/>
    </w:pPr>
    <w:rPr>
      <w:rFonts w:ascii="Perpetua Std" w:eastAsia="MS Mincho" w:hAnsi="Perpetua Std"/>
      <w:color w:val="000000"/>
    </w:rPr>
  </w:style>
  <w:style w:type="table" w:styleId="TableGrid">
    <w:name w:val="Table Grid"/>
    <w:basedOn w:val="TableNormal"/>
    <w:rsid w:val="0083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8375BC"/>
    <w:pPr>
      <w:spacing w:after="240"/>
      <w:jc w:val="center"/>
    </w:pPr>
    <w:rPr>
      <w:rFonts w:ascii="Helvetica LT Std" w:hAnsi="Helvetica LT Std"/>
      <w:b/>
      <w:caps/>
      <w:color w:val="000000"/>
      <w:sz w:val="36"/>
      <w:szCs w:val="32"/>
    </w:rPr>
  </w:style>
  <w:style w:type="paragraph" w:customStyle="1" w:styleId="HB">
    <w:name w:val="HB"/>
    <w:rsid w:val="008375BC"/>
    <w:pPr>
      <w:spacing w:before="120" w:after="240"/>
      <w:jc w:val="center"/>
    </w:pPr>
    <w:rPr>
      <w:rFonts w:ascii="Helvetica LT Std" w:hAnsi="Helvetica LT Std"/>
      <w:b/>
      <w:color w:val="5F5F5F"/>
      <w:w w:val="105"/>
      <w:sz w:val="32"/>
    </w:rPr>
  </w:style>
  <w:style w:type="paragraph" w:customStyle="1" w:styleId="HC">
    <w:name w:val="HC"/>
    <w:autoRedefine/>
    <w:rsid w:val="008375BC"/>
    <w:pPr>
      <w:tabs>
        <w:tab w:val="left" w:pos="284"/>
      </w:tabs>
      <w:spacing w:before="120" w:after="120"/>
      <w:jc w:val="center"/>
    </w:pPr>
    <w:rPr>
      <w:rFonts w:ascii="Helvetica LT Std" w:hAnsi="Helvetica LT Std"/>
      <w:b/>
      <w:color w:val="000000"/>
      <w:w w:val="110"/>
      <w:sz w:val="26"/>
    </w:rPr>
  </w:style>
  <w:style w:type="paragraph" w:customStyle="1" w:styleId="PR">
    <w:name w:val="PR"/>
    <w:rsid w:val="008375BC"/>
    <w:pPr>
      <w:spacing w:after="240"/>
      <w:ind w:left="360" w:firstLine="288"/>
      <w:jc w:val="both"/>
    </w:pPr>
    <w:rPr>
      <w:rFonts w:ascii="Adobe Caslon Pro" w:hAnsi="Adobe Caslon Pro"/>
      <w:color w:val="000000"/>
      <w:sz w:val="14"/>
    </w:rPr>
  </w:style>
  <w:style w:type="paragraph" w:customStyle="1" w:styleId="PO">
    <w:name w:val="PO"/>
    <w:rsid w:val="008375BC"/>
    <w:pPr>
      <w:spacing w:after="240"/>
      <w:jc w:val="both"/>
    </w:pPr>
    <w:rPr>
      <w:rFonts w:ascii="Perpetua Std" w:hAnsi="Perpetua Std"/>
      <w:color w:val="000000"/>
      <w:w w:val="95"/>
      <w:szCs w:val="16"/>
    </w:rPr>
  </w:style>
  <w:style w:type="paragraph" w:customStyle="1" w:styleId="GUIDEX">
    <w:name w:val="GUIDEX"/>
    <w:rsid w:val="008375BC"/>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8375BC"/>
    <w:pPr>
      <w:tabs>
        <w:tab w:val="clear" w:pos="240"/>
        <w:tab w:val="clear" w:pos="720"/>
        <w:tab w:val="right" w:pos="4680"/>
      </w:tabs>
    </w:pPr>
  </w:style>
  <w:style w:type="paragraph" w:customStyle="1" w:styleId="PCB">
    <w:name w:val="PCB"/>
    <w:autoRedefine/>
    <w:rsid w:val="008375BC"/>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8375BC"/>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8375BC"/>
    <w:rPr>
      <w:rFonts w:ascii="Perpetua Std" w:hAnsi="Perpetua Std"/>
    </w:rPr>
  </w:style>
  <w:style w:type="paragraph" w:styleId="NoSpacing">
    <w:name w:val="No Spacing"/>
    <w:qFormat/>
    <w:rsid w:val="008375BC"/>
    <w:rPr>
      <w:rFonts w:ascii="Perpetua" w:hAnsi="Perpetua"/>
    </w:rPr>
  </w:style>
  <w:style w:type="paragraph" w:customStyle="1" w:styleId="PCA">
    <w:name w:val="PCA"/>
    <w:rsid w:val="008375BC"/>
    <w:pPr>
      <w:numPr>
        <w:numId w:val="16"/>
      </w:numPr>
      <w:tabs>
        <w:tab w:val="left" w:pos="720"/>
      </w:tabs>
      <w:spacing w:after="240"/>
      <w:jc w:val="both"/>
    </w:pPr>
    <w:rPr>
      <w:rFonts w:ascii="Perpetua Std" w:hAnsi="Perpetua Std"/>
      <w:sz w:val="24"/>
    </w:rPr>
  </w:style>
  <w:style w:type="paragraph" w:customStyle="1" w:styleId="PHB">
    <w:name w:val="PHB"/>
    <w:rsid w:val="008375BC"/>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8375BC"/>
    <w:rPr>
      <w:rFonts w:ascii="Perpetua Std" w:eastAsia="MS Mincho" w:hAnsi="Perpetua Std"/>
      <w:color w:val="000000"/>
    </w:rPr>
  </w:style>
  <w:style w:type="character" w:styleId="EndnoteReference">
    <w:name w:val="endnote reference"/>
    <w:semiHidden/>
    <w:rsid w:val="002C5702"/>
    <w:rPr>
      <w:vertAlign w:val="superscript"/>
    </w:rPr>
  </w:style>
  <w:style w:type="character" w:customStyle="1" w:styleId="EndnoteSymbol">
    <w:name w:val="Endnote Symbol"/>
    <w:rsid w:val="00CD77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8375BC"/>
    <w:rPr>
      <w:rFonts w:ascii="Perpetua Std" w:hAnsi="Perpetua Std"/>
    </w:rPr>
  </w:style>
  <w:style w:type="paragraph" w:styleId="Heading1">
    <w:name w:val="heading 1"/>
    <w:basedOn w:val="Normal"/>
    <w:next w:val="Normal"/>
    <w:link w:val="Heading1Char"/>
    <w:qFormat/>
    <w:rsid w:val="008375BC"/>
    <w:pPr>
      <w:keepNext/>
      <w:outlineLvl w:val="0"/>
    </w:pPr>
    <w:rPr>
      <w:b/>
    </w:rPr>
  </w:style>
  <w:style w:type="paragraph" w:styleId="Heading2">
    <w:name w:val="heading 2"/>
    <w:basedOn w:val="Normal"/>
    <w:next w:val="Normal"/>
    <w:link w:val="Heading2Char"/>
    <w:qFormat/>
    <w:rsid w:val="008375BC"/>
    <w:pPr>
      <w:keepNext/>
      <w:spacing w:before="240" w:after="60"/>
      <w:outlineLvl w:val="1"/>
    </w:pPr>
    <w:rPr>
      <w:rFonts w:ascii="Arial" w:hAnsi="Arial"/>
      <w:b/>
      <w:i/>
      <w:sz w:val="24"/>
    </w:rPr>
  </w:style>
  <w:style w:type="paragraph" w:styleId="Heading3">
    <w:name w:val="heading 3"/>
    <w:basedOn w:val="Normal"/>
    <w:next w:val="Normal"/>
    <w:link w:val="Heading3Char"/>
    <w:qFormat/>
    <w:rsid w:val="008375B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uiPriority w:val="34"/>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8375BC"/>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8375BC"/>
    <w:rPr>
      <w:vertAlign w:val="superscript"/>
    </w:rPr>
  </w:style>
  <w:style w:type="paragraph" w:customStyle="1" w:styleId="PA">
    <w:name w:val="PA"/>
    <w:next w:val="Normal"/>
    <w:link w:val="PAChar"/>
    <w:rsid w:val="008375BC"/>
    <w:pPr>
      <w:spacing w:after="240"/>
      <w:ind w:firstLine="288"/>
      <w:jc w:val="both"/>
    </w:pPr>
    <w:rPr>
      <w:rFonts w:ascii="Perpetua Std" w:hAnsi="Perpetua Std"/>
      <w:color w:val="000000"/>
      <w:sz w:val="24"/>
    </w:rPr>
  </w:style>
  <w:style w:type="character" w:customStyle="1" w:styleId="PAChar">
    <w:name w:val="PA Char"/>
    <w:link w:val="PA"/>
    <w:rsid w:val="008375BC"/>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8375BC"/>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8375BC"/>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8375BC"/>
    <w:pPr>
      <w:spacing w:before="144"/>
      <w:jc w:val="both"/>
    </w:pPr>
    <w:rPr>
      <w:noProof/>
    </w:rPr>
  </w:style>
  <w:style w:type="paragraph" w:customStyle="1" w:styleId="PB">
    <w:name w:val="PB"/>
    <w:rsid w:val="008375BC"/>
    <w:pPr>
      <w:spacing w:after="240"/>
      <w:jc w:val="both"/>
    </w:pPr>
    <w:rPr>
      <w:rFonts w:ascii="Perpetua Std" w:hAnsi="Perpetua Std"/>
      <w:color w:val="000000"/>
      <w:sz w:val="24"/>
    </w:rPr>
  </w:style>
  <w:style w:type="paragraph" w:customStyle="1" w:styleId="PC">
    <w:name w:val="PC"/>
    <w:rsid w:val="008375BC"/>
    <w:pPr>
      <w:tabs>
        <w:tab w:val="left" w:pos="720"/>
      </w:tabs>
      <w:spacing w:after="240"/>
      <w:ind w:left="720" w:hanging="360"/>
      <w:jc w:val="both"/>
    </w:pPr>
    <w:rPr>
      <w:rFonts w:ascii="Perpetua Std" w:hAnsi="Perpetua Std"/>
      <w:color w:val="000000"/>
      <w:sz w:val="24"/>
    </w:rPr>
  </w:style>
  <w:style w:type="paragraph" w:customStyle="1" w:styleId="PD">
    <w:name w:val="PD"/>
    <w:rsid w:val="008375BC"/>
    <w:pPr>
      <w:spacing w:after="240"/>
      <w:ind w:left="720" w:firstLine="288"/>
      <w:jc w:val="both"/>
    </w:pPr>
    <w:rPr>
      <w:rFonts w:ascii="Perpetua Std" w:hAnsi="Perpetua Std"/>
      <w:color w:val="000000"/>
      <w:sz w:val="24"/>
    </w:rPr>
  </w:style>
  <w:style w:type="paragraph" w:customStyle="1" w:styleId="PE">
    <w:name w:val="PE"/>
    <w:rsid w:val="008375BC"/>
    <w:pPr>
      <w:spacing w:after="240"/>
      <w:ind w:left="720"/>
      <w:jc w:val="both"/>
    </w:pPr>
    <w:rPr>
      <w:rFonts w:ascii="Perpetua Std" w:hAnsi="Perpetua Std"/>
      <w:color w:val="000000"/>
      <w:sz w:val="24"/>
    </w:rPr>
  </w:style>
  <w:style w:type="paragraph" w:customStyle="1" w:styleId="PF">
    <w:name w:val="PF"/>
    <w:rsid w:val="008375BC"/>
    <w:pPr>
      <w:tabs>
        <w:tab w:val="left" w:pos="1080"/>
      </w:tabs>
      <w:spacing w:after="240"/>
      <w:ind w:left="1080" w:hanging="360"/>
      <w:jc w:val="both"/>
    </w:pPr>
    <w:rPr>
      <w:rFonts w:ascii="Perpetua Std" w:hAnsi="Perpetua Std"/>
      <w:color w:val="000000"/>
      <w:sz w:val="24"/>
    </w:rPr>
  </w:style>
  <w:style w:type="paragraph" w:customStyle="1" w:styleId="PG">
    <w:name w:val="PG"/>
    <w:rsid w:val="008375BC"/>
    <w:pPr>
      <w:spacing w:after="240"/>
      <w:ind w:left="360"/>
      <w:jc w:val="both"/>
    </w:pPr>
    <w:rPr>
      <w:rFonts w:ascii="Perpetua Std" w:hAnsi="Perpetua Std"/>
      <w:color w:val="000000"/>
      <w:sz w:val="24"/>
    </w:rPr>
  </w:style>
  <w:style w:type="paragraph" w:customStyle="1" w:styleId="PH">
    <w:name w:val="PH"/>
    <w:rsid w:val="008375BC"/>
    <w:pPr>
      <w:tabs>
        <w:tab w:val="left" w:pos="360"/>
      </w:tabs>
      <w:spacing w:after="240"/>
      <w:ind w:left="360" w:hanging="360"/>
      <w:jc w:val="both"/>
    </w:pPr>
    <w:rPr>
      <w:rFonts w:ascii="Perpetua Std" w:hAnsi="Perpetua Std"/>
      <w:color w:val="000000"/>
      <w:sz w:val="24"/>
    </w:rPr>
  </w:style>
  <w:style w:type="paragraph" w:customStyle="1" w:styleId="PI">
    <w:name w:val="PI"/>
    <w:rsid w:val="008375BC"/>
    <w:pPr>
      <w:spacing w:after="240"/>
      <w:ind w:left="360" w:hanging="360"/>
      <w:jc w:val="both"/>
    </w:pPr>
    <w:rPr>
      <w:rFonts w:ascii="Perpetua Std" w:hAnsi="Perpetua Std"/>
      <w:color w:val="000000"/>
      <w:sz w:val="24"/>
    </w:rPr>
  </w:style>
  <w:style w:type="paragraph" w:customStyle="1" w:styleId="PK">
    <w:name w:val="PK"/>
    <w:rsid w:val="008375BC"/>
    <w:pPr>
      <w:spacing w:after="240"/>
      <w:ind w:left="360" w:firstLine="288"/>
      <w:jc w:val="both"/>
    </w:pPr>
    <w:rPr>
      <w:rFonts w:ascii="Perpetua Std" w:hAnsi="Perpetua Std"/>
      <w:color w:val="000000"/>
      <w:sz w:val="24"/>
    </w:rPr>
  </w:style>
  <w:style w:type="paragraph" w:customStyle="1" w:styleId="PL">
    <w:name w:val="PL"/>
    <w:rsid w:val="008375BC"/>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8375BC"/>
    <w:pPr>
      <w:spacing w:after="240"/>
      <w:ind w:left="432" w:right="432" w:firstLine="432"/>
      <w:jc w:val="both"/>
    </w:pPr>
    <w:rPr>
      <w:rFonts w:ascii="Minion Pro" w:hAnsi="Minion Pro"/>
    </w:rPr>
  </w:style>
  <w:style w:type="paragraph" w:customStyle="1" w:styleId="TOC">
    <w:name w:val="TOC"/>
    <w:autoRedefine/>
    <w:rsid w:val="008375BC"/>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8375BC"/>
    <w:pPr>
      <w:tabs>
        <w:tab w:val="clear" w:pos="8640"/>
        <w:tab w:val="left" w:pos="240"/>
        <w:tab w:val="left" w:pos="450"/>
        <w:tab w:val="right" w:leader="dot" w:pos="4680"/>
      </w:tabs>
      <w:ind w:left="0" w:firstLine="0"/>
    </w:pPr>
    <w:rPr>
      <w:sz w:val="20"/>
    </w:rPr>
  </w:style>
  <w:style w:type="paragraph" w:customStyle="1" w:styleId="PQ">
    <w:name w:val="PQ"/>
    <w:link w:val="PQChar"/>
    <w:rsid w:val="008375BC"/>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8375BC"/>
    <w:rPr>
      <w:rFonts w:ascii="Adobe Caslon Pro" w:hAnsi="Adobe Caslon Pro"/>
      <w:color w:val="000000"/>
      <w:sz w:val="14"/>
    </w:rPr>
  </w:style>
  <w:style w:type="paragraph" w:customStyle="1" w:styleId="HD">
    <w:name w:val="HD"/>
    <w:rsid w:val="008375BC"/>
    <w:pPr>
      <w:suppressAutoHyphens/>
      <w:spacing w:before="120"/>
      <w:jc w:val="center"/>
    </w:pPr>
    <w:rPr>
      <w:rFonts w:ascii="Helvetica LT Std" w:hAnsi="Helvetica LT Std"/>
      <w:sz w:val="26"/>
      <w:szCs w:val="18"/>
    </w:rPr>
  </w:style>
  <w:style w:type="paragraph" w:customStyle="1" w:styleId="PP">
    <w:name w:val="PP"/>
    <w:rsid w:val="008375BC"/>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8375BC"/>
    <w:pPr>
      <w:spacing w:before="120" w:after="120"/>
      <w:jc w:val="center"/>
    </w:pPr>
    <w:rPr>
      <w:rFonts w:ascii="Helvetica LT Std" w:hAnsi="Helvetica LT Std"/>
      <w:sz w:val="24"/>
    </w:rPr>
  </w:style>
  <w:style w:type="paragraph" w:customStyle="1" w:styleId="PN">
    <w:name w:val="PN"/>
    <w:rsid w:val="008375BC"/>
    <w:pPr>
      <w:spacing w:after="240"/>
      <w:ind w:left="720" w:firstLine="288"/>
      <w:jc w:val="both"/>
    </w:pPr>
    <w:rPr>
      <w:rFonts w:ascii="Perpetua Std" w:eastAsia="MS Mincho" w:hAnsi="Perpetua Std"/>
      <w:color w:val="000000"/>
    </w:rPr>
  </w:style>
  <w:style w:type="table" w:styleId="TableGrid">
    <w:name w:val="Table Grid"/>
    <w:basedOn w:val="TableNormal"/>
    <w:rsid w:val="0083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8375BC"/>
    <w:pPr>
      <w:spacing w:after="240"/>
      <w:jc w:val="center"/>
    </w:pPr>
    <w:rPr>
      <w:rFonts w:ascii="Helvetica LT Std" w:hAnsi="Helvetica LT Std"/>
      <w:b/>
      <w:caps/>
      <w:color w:val="000000"/>
      <w:sz w:val="36"/>
      <w:szCs w:val="32"/>
    </w:rPr>
  </w:style>
  <w:style w:type="paragraph" w:customStyle="1" w:styleId="HB">
    <w:name w:val="HB"/>
    <w:rsid w:val="008375BC"/>
    <w:pPr>
      <w:spacing w:before="120" w:after="240"/>
      <w:jc w:val="center"/>
    </w:pPr>
    <w:rPr>
      <w:rFonts w:ascii="Helvetica LT Std" w:hAnsi="Helvetica LT Std"/>
      <w:b/>
      <w:color w:val="5F5F5F"/>
      <w:w w:val="105"/>
      <w:sz w:val="32"/>
    </w:rPr>
  </w:style>
  <w:style w:type="paragraph" w:customStyle="1" w:styleId="HC">
    <w:name w:val="HC"/>
    <w:autoRedefine/>
    <w:rsid w:val="008375BC"/>
    <w:pPr>
      <w:tabs>
        <w:tab w:val="left" w:pos="284"/>
      </w:tabs>
      <w:spacing w:before="120" w:after="120"/>
      <w:jc w:val="center"/>
    </w:pPr>
    <w:rPr>
      <w:rFonts w:ascii="Helvetica LT Std" w:hAnsi="Helvetica LT Std"/>
      <w:b/>
      <w:color w:val="000000"/>
      <w:w w:val="110"/>
      <w:sz w:val="26"/>
    </w:rPr>
  </w:style>
  <w:style w:type="paragraph" w:customStyle="1" w:styleId="PR">
    <w:name w:val="PR"/>
    <w:rsid w:val="008375BC"/>
    <w:pPr>
      <w:spacing w:after="240"/>
      <w:ind w:left="360" w:firstLine="288"/>
      <w:jc w:val="both"/>
    </w:pPr>
    <w:rPr>
      <w:rFonts w:ascii="Adobe Caslon Pro" w:hAnsi="Adobe Caslon Pro"/>
      <w:color w:val="000000"/>
      <w:sz w:val="14"/>
    </w:rPr>
  </w:style>
  <w:style w:type="paragraph" w:customStyle="1" w:styleId="PO">
    <w:name w:val="PO"/>
    <w:rsid w:val="008375BC"/>
    <w:pPr>
      <w:spacing w:after="240"/>
      <w:jc w:val="both"/>
    </w:pPr>
    <w:rPr>
      <w:rFonts w:ascii="Perpetua Std" w:hAnsi="Perpetua Std"/>
      <w:color w:val="000000"/>
      <w:w w:val="95"/>
      <w:szCs w:val="16"/>
    </w:rPr>
  </w:style>
  <w:style w:type="paragraph" w:customStyle="1" w:styleId="GUIDEX">
    <w:name w:val="GUIDEX"/>
    <w:rsid w:val="008375BC"/>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8375BC"/>
    <w:pPr>
      <w:tabs>
        <w:tab w:val="clear" w:pos="240"/>
        <w:tab w:val="clear" w:pos="720"/>
        <w:tab w:val="right" w:pos="4680"/>
      </w:tabs>
    </w:pPr>
  </w:style>
  <w:style w:type="paragraph" w:customStyle="1" w:styleId="PCB">
    <w:name w:val="PCB"/>
    <w:autoRedefine/>
    <w:rsid w:val="008375BC"/>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8375BC"/>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8375BC"/>
    <w:rPr>
      <w:rFonts w:ascii="Perpetua Std" w:hAnsi="Perpetua Std"/>
    </w:rPr>
  </w:style>
  <w:style w:type="paragraph" w:styleId="NoSpacing">
    <w:name w:val="No Spacing"/>
    <w:qFormat/>
    <w:rsid w:val="008375BC"/>
    <w:rPr>
      <w:rFonts w:ascii="Perpetua" w:hAnsi="Perpetua"/>
    </w:rPr>
  </w:style>
  <w:style w:type="paragraph" w:customStyle="1" w:styleId="PCA">
    <w:name w:val="PCA"/>
    <w:rsid w:val="008375BC"/>
    <w:pPr>
      <w:numPr>
        <w:numId w:val="16"/>
      </w:numPr>
      <w:tabs>
        <w:tab w:val="left" w:pos="720"/>
      </w:tabs>
      <w:spacing w:after="240"/>
      <w:jc w:val="both"/>
    </w:pPr>
    <w:rPr>
      <w:rFonts w:ascii="Perpetua Std" w:hAnsi="Perpetua Std"/>
      <w:sz w:val="24"/>
    </w:rPr>
  </w:style>
  <w:style w:type="paragraph" w:customStyle="1" w:styleId="PHB">
    <w:name w:val="PHB"/>
    <w:rsid w:val="008375BC"/>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8375BC"/>
    <w:rPr>
      <w:rFonts w:ascii="Perpetua Std" w:eastAsia="MS Mincho" w:hAnsi="Perpetua Std"/>
      <w:color w:val="000000"/>
    </w:rPr>
  </w:style>
  <w:style w:type="character" w:styleId="EndnoteReference">
    <w:name w:val="endnote reference"/>
    <w:semiHidden/>
    <w:rsid w:val="002C5702"/>
    <w:rPr>
      <w:vertAlign w:val="superscript"/>
    </w:rPr>
  </w:style>
  <w:style w:type="character" w:customStyle="1" w:styleId="EndnoteSymbol">
    <w:name w:val="Endnote Symbol"/>
    <w:rsid w:val="00CD7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5554">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10114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B161-EFF9-472C-90CC-D48DF14E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8569. How does a taxpayer determine whether there is recognized gain on the sale or exchange of property for purposes of the investment income tax?</vt:lpstr>
    </vt:vector>
  </TitlesOfParts>
  <Company>Summit Business Media</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8569. How does a taxpayer determine whether there is recognized gain on the sale or exchange of property for purposes of the investment income tax?</dc:title>
  <dc:creator>Alexis Long</dc:creator>
  <cp:lastModifiedBy>rcline</cp:lastModifiedBy>
  <cp:revision>2</cp:revision>
  <cp:lastPrinted>2014-06-17T02:10:00Z</cp:lastPrinted>
  <dcterms:created xsi:type="dcterms:W3CDTF">2014-07-08T20:53:00Z</dcterms:created>
  <dcterms:modified xsi:type="dcterms:W3CDTF">2014-07-08T20:53:00Z</dcterms:modified>
</cp:coreProperties>
</file>