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7F" w:rsidRPr="00DF090F" w:rsidRDefault="006C5618" w:rsidP="00B611F0">
      <w:pPr>
        <w:pStyle w:val="PA"/>
        <w:rPr>
          <w:b/>
        </w:rPr>
      </w:pPr>
      <w:r>
        <w:rPr>
          <w:b/>
        </w:rPr>
        <w:t>8563</w:t>
      </w:r>
      <w:r w:rsidR="00DF090F" w:rsidRPr="00DF090F">
        <w:rPr>
          <w:b/>
        </w:rPr>
        <w:t xml:space="preserve">.  How do the net investment income rules apply to </w:t>
      </w:r>
      <w:r w:rsidR="0080797F" w:rsidRPr="00DF090F">
        <w:rPr>
          <w:b/>
        </w:rPr>
        <w:t>amounts received under an annuity contract?</w:t>
      </w:r>
    </w:p>
    <w:p w:rsidR="00455D1D" w:rsidRDefault="00BB689D" w:rsidP="00B611F0">
      <w:pPr>
        <w:pStyle w:val="PA"/>
      </w:pPr>
      <w:r>
        <w:t>Income from annuities included in g</w:t>
      </w:r>
      <w:r w:rsidR="00946A97">
        <w:t xml:space="preserve">ross income </w:t>
      </w:r>
      <w:r>
        <w:t>pursuant to</w:t>
      </w:r>
      <w:r w:rsidR="00946A97">
        <w:t xml:space="preserve"> IRC Sections 72(a) and 72(b) </w:t>
      </w:r>
      <w:r>
        <w:t xml:space="preserve">are also included in </w:t>
      </w:r>
      <w:r w:rsidR="00946A97">
        <w:t>net investment income</w:t>
      </w:r>
      <w:r w:rsidR="006C5618">
        <w:t xml:space="preserve"> pursuant to IRC Section 1411(c</w:t>
      </w:r>
      <w:proofErr w:type="gramStart"/>
      <w:r w:rsidR="006C5618">
        <w:t>)(</w:t>
      </w:r>
      <w:proofErr w:type="gramEnd"/>
      <w:r w:rsidR="006C5618">
        <w:t>1)(A)(</w:t>
      </w:r>
      <w:proofErr w:type="spellStart"/>
      <w:r w:rsidR="006C5618">
        <w:t>i</w:t>
      </w:r>
      <w:proofErr w:type="spellEnd"/>
      <w:r w:rsidR="006C5618">
        <w:t>)</w:t>
      </w:r>
      <w:r>
        <w:t>.</w:t>
      </w:r>
      <w:r w:rsidR="00946A97">
        <w:t xml:space="preserve">  </w:t>
      </w:r>
      <w:r>
        <w:t xml:space="preserve">For regular income tax purposes, a portion of an annuity payment is </w:t>
      </w:r>
      <w:r w:rsidR="00946A97">
        <w:t>allocated to the taxpayer’s investment i</w:t>
      </w:r>
      <w:r w:rsidR="00304765">
        <w:t>n the annuity</w:t>
      </w:r>
      <w:r w:rsidR="00946A97">
        <w:t xml:space="preserve">.  </w:t>
      </w:r>
      <w:r w:rsidR="001A1C00">
        <w:t>That amoun</w:t>
      </w:r>
      <w:r w:rsidR="00A5005B">
        <w:t>t is excluded from gross income,</w:t>
      </w:r>
      <w:r w:rsidR="00A5005B" w:rsidRPr="00EE7BE5">
        <w:rPr>
          <w:rStyle w:val="FootnoteReference"/>
          <w:color w:val="auto"/>
        </w:rPr>
        <w:footnoteReference w:id="1"/>
      </w:r>
      <w:r w:rsidR="001A1C00">
        <w:t xml:space="preserve"> and, thus, not treated as net investment income.  The difference between the total payment and the excluded amount is included in gross income,</w:t>
      </w:r>
      <w:r w:rsidR="008952E5" w:rsidRPr="00EE7BE5">
        <w:rPr>
          <w:rStyle w:val="FootnoteReference"/>
          <w:color w:val="auto"/>
        </w:rPr>
        <w:footnoteReference w:id="2"/>
      </w:r>
      <w:r w:rsidR="001A1C00">
        <w:t xml:space="preserve"> </w:t>
      </w:r>
      <w:r>
        <w:t xml:space="preserve">as well as </w:t>
      </w:r>
      <w:r w:rsidR="001A1C00">
        <w:t>net investment income</w:t>
      </w:r>
      <w:r>
        <w:t>.</w:t>
      </w:r>
      <w:r w:rsidR="00536354" w:rsidRPr="00EE7BE5">
        <w:rPr>
          <w:rStyle w:val="FootnoteReference"/>
          <w:color w:val="auto"/>
        </w:rPr>
        <w:footnoteReference w:id="3"/>
      </w:r>
      <w:r w:rsidR="00A02913">
        <w:t xml:space="preserve"> </w:t>
      </w:r>
    </w:p>
    <w:p w:rsidR="001A1C00" w:rsidRDefault="001A1C00" w:rsidP="001A1C00">
      <w:pPr>
        <w:pStyle w:val="PA"/>
        <w:ind w:left="720" w:firstLine="0"/>
      </w:pPr>
      <w:r w:rsidRPr="002C7FE6">
        <w:rPr>
          <w:i/>
        </w:rPr>
        <w:t>Example</w:t>
      </w:r>
      <w:r w:rsidRPr="000D179D">
        <w:t xml:space="preserve">: </w:t>
      </w:r>
      <w:r>
        <w:t xml:space="preserve">In 2014, Amy Annuitant received $12,000 in annuity payments of which $7,000 was allocated to her investment in the annuity.  As a result, pursuant to IRC Section 72(b), Amy would exclude $7,000 of the payments from gross income and net investment income.  </w:t>
      </w:r>
      <w:r w:rsidR="00BB689D">
        <w:t>The difference between the total annuity payment of $12,000 and her $7,000 basis, or $5,000 would be included</w:t>
      </w:r>
      <w:r>
        <w:t xml:space="preserve"> in gross income and in net investment income, subject to the net investment income tax.</w:t>
      </w:r>
    </w:p>
    <w:p w:rsidR="00A5005B" w:rsidRDefault="007C1E0C" w:rsidP="00B611F0">
      <w:pPr>
        <w:pStyle w:val="PA"/>
      </w:pPr>
      <w:r>
        <w:t>If</w:t>
      </w:r>
      <w:r w:rsidR="00282D04">
        <w:t xml:space="preserve"> the taxpayer </w:t>
      </w:r>
      <w:r w:rsidR="00282D04" w:rsidRPr="007C1E0C">
        <w:rPr>
          <w:i/>
        </w:rPr>
        <w:t>sells</w:t>
      </w:r>
      <w:r w:rsidR="00282D04">
        <w:t xml:space="preserve"> the annuity contract</w:t>
      </w:r>
      <w:r w:rsidR="00946347">
        <w:t xml:space="preserve"> </w:t>
      </w:r>
      <w:r w:rsidR="001A1C00">
        <w:t xml:space="preserve">for a gain, the entire gain would be treated as net investment income </w:t>
      </w:r>
      <w:r w:rsidR="00DF090F">
        <w:t xml:space="preserve">either </w:t>
      </w:r>
      <w:r w:rsidR="001A1C00">
        <w:t>under IRC Section 1411(c</w:t>
      </w:r>
      <w:proofErr w:type="gramStart"/>
      <w:r w:rsidR="001A1C00">
        <w:t>)(</w:t>
      </w:r>
      <w:proofErr w:type="gramEnd"/>
      <w:r w:rsidR="001A1C00">
        <w:t>1)(A)(</w:t>
      </w:r>
      <w:proofErr w:type="spellStart"/>
      <w:r w:rsidR="001A1C00">
        <w:t>i</w:t>
      </w:r>
      <w:proofErr w:type="spellEnd"/>
      <w:r w:rsidR="001A1C00">
        <w:t xml:space="preserve">) </w:t>
      </w:r>
      <w:r w:rsidR="00BB689D">
        <w:t xml:space="preserve">(as annuity income) </w:t>
      </w:r>
      <w:r w:rsidR="001A1C00">
        <w:t>or 1411(c)(1)(A)(iii</w:t>
      </w:r>
      <w:r w:rsidR="00A5005B">
        <w:t>)</w:t>
      </w:r>
      <w:r w:rsidR="00BB689D">
        <w:t xml:space="preserve"> (net gain attributable to the sale of property)</w:t>
      </w:r>
      <w:r w:rsidR="00A5005B">
        <w:t xml:space="preserve">.  For example, if the </w:t>
      </w:r>
      <w:r w:rsidR="00AC4BA4">
        <w:t xml:space="preserve">sales price of the annuity does not exceed the annuity surrender value, the </w:t>
      </w:r>
      <w:r w:rsidR="00A5005B">
        <w:t>gain recognized</w:t>
      </w:r>
      <w:r w:rsidR="00AC4BA4">
        <w:t xml:space="preserve"> </w:t>
      </w:r>
      <w:r w:rsidR="00A5005B">
        <w:t>(difference between the sales price and the taxpayer’s investment or basis in the annuity) is treated as annuity income.  If the sales price exceeds the annuity surrender value, the</w:t>
      </w:r>
      <w:r w:rsidR="00E82F11">
        <w:t xml:space="preserve"> portion of the</w:t>
      </w:r>
      <w:r w:rsidR="00A5005B">
        <w:t xml:space="preserve"> gain attributable to the difference between the surrender value and the taxpayer’s investment or basis in the annuity is also treated as annuity income.  However, the gain attributable to the difference between the sales price and the surrender value of the annuity would be treated as net gain</w:t>
      </w:r>
      <w:r w:rsidR="00BB689D">
        <w:t xml:space="preserve"> attributable to the sale of the annuity</w:t>
      </w:r>
      <w:r w:rsidR="00A5005B">
        <w:t>.</w:t>
      </w:r>
      <w:r w:rsidR="006C5618" w:rsidRPr="00EE7BE5">
        <w:rPr>
          <w:rStyle w:val="FootnoteReference"/>
          <w:color w:val="auto"/>
        </w:rPr>
        <w:footnoteReference w:id="4"/>
      </w:r>
    </w:p>
    <w:p w:rsidR="00B611F0" w:rsidRPr="00B611F0" w:rsidRDefault="00B611F0" w:rsidP="00B611F0">
      <w:bookmarkStart w:id="0" w:name="_GoBack"/>
      <w:bookmarkEnd w:id="0"/>
    </w:p>
    <w:sectPr w:rsidR="00B611F0" w:rsidRPr="00B611F0" w:rsidSect="00271A21">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BA7" w:rsidRDefault="00D17BA7" w:rsidP="00536B05">
      <w:r>
        <w:separator/>
      </w:r>
    </w:p>
  </w:endnote>
  <w:endnote w:type="continuationSeparator" w:id="0">
    <w:p w:rsidR="00D17BA7" w:rsidRDefault="00D17BA7" w:rsidP="0053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LT Std">
    <w:altName w:val="Cambria"/>
    <w:panose1 w:val="00000000000000000000"/>
    <w:charset w:val="00"/>
    <w:family w:val="swiss"/>
    <w:notTrueType/>
    <w:pitch w:val="variable"/>
    <w:sig w:usb0="800002AF" w:usb1="5000204A" w:usb2="00000000" w:usb3="00000000" w:csb0="00000005"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BA7" w:rsidRDefault="00D17BA7" w:rsidP="00536B05">
      <w:r>
        <w:separator/>
      </w:r>
    </w:p>
  </w:footnote>
  <w:footnote w:type="continuationSeparator" w:id="0">
    <w:p w:rsidR="00D17BA7" w:rsidRDefault="00D17BA7" w:rsidP="00536B05">
      <w:r>
        <w:continuationSeparator/>
      </w:r>
    </w:p>
  </w:footnote>
  <w:footnote w:id="1">
    <w:p w:rsidR="00A5005B" w:rsidRPr="00B611F0" w:rsidRDefault="00A5005B" w:rsidP="00A5005B">
      <w:pPr>
        <w:pStyle w:val="PQ"/>
      </w:pPr>
      <w:r w:rsidRPr="00B611F0">
        <w:rPr>
          <w:rStyle w:val="FootnoteReference"/>
          <w:vertAlign w:val="baseline"/>
        </w:rPr>
        <w:footnoteRef/>
      </w:r>
      <w:r>
        <w:t>.</w:t>
      </w:r>
      <w:r>
        <w:tab/>
        <w:t>IRC Section 72(b).</w:t>
      </w:r>
    </w:p>
  </w:footnote>
  <w:footnote w:id="2">
    <w:p w:rsidR="008952E5" w:rsidRPr="00B611F0" w:rsidRDefault="008952E5" w:rsidP="008952E5">
      <w:pPr>
        <w:pStyle w:val="PQ"/>
      </w:pPr>
      <w:r w:rsidRPr="00B611F0">
        <w:rPr>
          <w:rStyle w:val="FootnoteReference"/>
          <w:vertAlign w:val="baseline"/>
        </w:rPr>
        <w:footnoteRef/>
      </w:r>
      <w:r>
        <w:t>.</w:t>
      </w:r>
      <w:r>
        <w:tab/>
        <w:t>IRC Section 72(a).</w:t>
      </w:r>
    </w:p>
  </w:footnote>
  <w:footnote w:id="3">
    <w:p w:rsidR="009B2364" w:rsidRPr="00B611F0" w:rsidRDefault="009B2364" w:rsidP="00EE7BE5">
      <w:pPr>
        <w:pStyle w:val="PQ"/>
      </w:pPr>
      <w:r w:rsidRPr="00B611F0">
        <w:rPr>
          <w:rStyle w:val="FootnoteReference"/>
          <w:vertAlign w:val="baseline"/>
        </w:rPr>
        <w:footnoteRef/>
      </w:r>
      <w:r w:rsidR="001D533C">
        <w:t>.</w:t>
      </w:r>
      <w:r w:rsidR="001D533C">
        <w:tab/>
      </w:r>
      <w:r w:rsidR="00EE7BE5" w:rsidRPr="00B611F0">
        <w:t xml:space="preserve">Treas. Reg. </w:t>
      </w:r>
      <w:r w:rsidR="00EE7BE5" w:rsidRPr="007B0BC4">
        <w:t>§</w:t>
      </w:r>
      <w:r w:rsidR="00EE7BE5" w:rsidRPr="00B611F0">
        <w:t>1.1411-4(a</w:t>
      </w:r>
      <w:proofErr w:type="gramStart"/>
      <w:r w:rsidR="00EE7BE5" w:rsidRPr="00B611F0">
        <w:t>)(</w:t>
      </w:r>
      <w:proofErr w:type="gramEnd"/>
      <w:r w:rsidR="00EE7BE5" w:rsidRPr="00B611F0">
        <w:t>1)(</w:t>
      </w:r>
      <w:proofErr w:type="spellStart"/>
      <w:r w:rsidR="00EE7BE5" w:rsidRPr="00B611F0">
        <w:t>i</w:t>
      </w:r>
      <w:proofErr w:type="spellEnd"/>
      <w:r w:rsidR="00EE7BE5" w:rsidRPr="00B611F0">
        <w:t>)</w:t>
      </w:r>
      <w:r w:rsidR="001F0DEF">
        <w:t>.  See also</w:t>
      </w:r>
      <w:r w:rsidR="00EE7BE5" w:rsidRPr="00B611F0">
        <w:t xml:space="preserve"> Preamble</w:t>
      </w:r>
      <w:r w:rsidR="00946347">
        <w:t xml:space="preserve"> to Proposed Regulations</w:t>
      </w:r>
      <w:r w:rsidR="00EE7BE5" w:rsidRPr="00B611F0">
        <w:t>, 77 Fed. Reg. 72618</w:t>
      </w:r>
      <w:r w:rsidR="00946347">
        <w:t>; Preamble to Final Regulations, 78 Fed. Reg. 72394</w:t>
      </w:r>
      <w:r w:rsidR="00EE7BE5" w:rsidRPr="00B611F0">
        <w:t>.</w:t>
      </w:r>
    </w:p>
  </w:footnote>
  <w:footnote w:id="4">
    <w:p w:rsidR="006C5618" w:rsidRPr="00B611F0" w:rsidRDefault="006C5618" w:rsidP="006C5618">
      <w:pPr>
        <w:pStyle w:val="PQ"/>
      </w:pPr>
      <w:r w:rsidRPr="00B611F0">
        <w:rPr>
          <w:rStyle w:val="FootnoteReference"/>
          <w:vertAlign w:val="baseline"/>
        </w:rPr>
        <w:footnoteRef/>
      </w:r>
      <w:r>
        <w:t>.</w:t>
      </w:r>
      <w:r>
        <w:tab/>
        <w:t>IRC Section 1411(c</w:t>
      </w:r>
      <w:proofErr w:type="gramStart"/>
      <w:r>
        <w:t>)(</w:t>
      </w:r>
      <w:proofErr w:type="gramEnd"/>
      <w:r>
        <w:t>1)(A)(iii).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BB42CE"/>
    <w:multiLevelType w:val="hybridMultilevel"/>
    <w:tmpl w:val="BF06F940"/>
    <w:lvl w:ilvl="0" w:tplc="60ECB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E0CC4"/>
    <w:multiLevelType w:val="hybridMultilevel"/>
    <w:tmpl w:val="B5FE802C"/>
    <w:lvl w:ilvl="0" w:tplc="1D1875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nsid w:val="3BC110BE"/>
    <w:multiLevelType w:val="hybridMultilevel"/>
    <w:tmpl w:val="9AE02338"/>
    <w:lvl w:ilvl="0" w:tplc="A9B40AD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084466"/>
    <w:multiLevelType w:val="hybridMultilevel"/>
    <w:tmpl w:val="20E2C94C"/>
    <w:lvl w:ilvl="0" w:tplc="1C4AC2D0">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1B2CBE"/>
    <w:multiLevelType w:val="singleLevel"/>
    <w:tmpl w:val="0409000F"/>
    <w:lvl w:ilvl="0">
      <w:start w:val="1"/>
      <w:numFmt w:val="decimal"/>
      <w:lvlText w:val="%1."/>
      <w:lvlJc w:val="left"/>
      <w:pPr>
        <w:tabs>
          <w:tab w:val="num" w:pos="360"/>
        </w:tabs>
        <w:ind w:left="360" w:hanging="360"/>
      </w:pPr>
    </w:lvl>
  </w:abstractNum>
  <w:abstractNum w:abstractNumId="11">
    <w:nsid w:val="597F1EEF"/>
    <w:multiLevelType w:val="hybridMultilevel"/>
    <w:tmpl w:val="AE080146"/>
    <w:lvl w:ilvl="0" w:tplc="D3725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592209"/>
    <w:multiLevelType w:val="hybridMultilevel"/>
    <w:tmpl w:val="601CAE42"/>
    <w:lvl w:ilvl="0" w:tplc="E9261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9"/>
  </w:num>
  <w:num w:numId="2">
    <w:abstractNumId w:val="14"/>
  </w:num>
  <w:num w:numId="3">
    <w:abstractNumId w:val="4"/>
  </w:num>
  <w:num w:numId="4">
    <w:abstractNumId w:val="7"/>
  </w:num>
  <w:num w:numId="5">
    <w:abstractNumId w:val="11"/>
  </w:num>
  <w:num w:numId="6">
    <w:abstractNumId w:val="3"/>
  </w:num>
  <w:num w:numId="7">
    <w:abstractNumId w:val="12"/>
  </w:num>
  <w:num w:numId="8">
    <w:abstractNumId w:val="0"/>
  </w:num>
  <w:num w:numId="9">
    <w:abstractNumId w:val="6"/>
  </w:num>
  <w:num w:numId="10">
    <w:abstractNumId w:val="16"/>
  </w:num>
  <w:num w:numId="11">
    <w:abstractNumId w:val="5"/>
  </w:num>
  <w:num w:numId="12">
    <w:abstractNumId w:val="10"/>
  </w:num>
  <w:num w:numId="13">
    <w:abstractNumId w:val="1"/>
  </w:num>
  <w:num w:numId="14">
    <w:abstractNumId w:val="2"/>
  </w:num>
  <w:num w:numId="15">
    <w:abstractNumId w:val="13"/>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ED"/>
    <w:rsid w:val="00012D94"/>
    <w:rsid w:val="00025E46"/>
    <w:rsid w:val="0003025A"/>
    <w:rsid w:val="00060618"/>
    <w:rsid w:val="00065361"/>
    <w:rsid w:val="00065768"/>
    <w:rsid w:val="00094E50"/>
    <w:rsid w:val="000A37F8"/>
    <w:rsid w:val="000B77A1"/>
    <w:rsid w:val="000C1C63"/>
    <w:rsid w:val="000D179D"/>
    <w:rsid w:val="000D7E02"/>
    <w:rsid w:val="000E481B"/>
    <w:rsid w:val="00114A17"/>
    <w:rsid w:val="00114F7E"/>
    <w:rsid w:val="0011643A"/>
    <w:rsid w:val="00133EA9"/>
    <w:rsid w:val="00166A3D"/>
    <w:rsid w:val="00197659"/>
    <w:rsid w:val="001A1C00"/>
    <w:rsid w:val="001A5CC6"/>
    <w:rsid w:val="001C2D8B"/>
    <w:rsid w:val="001D533C"/>
    <w:rsid w:val="001E1EEA"/>
    <w:rsid w:val="001E59F3"/>
    <w:rsid w:val="001F0DEF"/>
    <w:rsid w:val="001F52F4"/>
    <w:rsid w:val="00236EBA"/>
    <w:rsid w:val="00257104"/>
    <w:rsid w:val="00267E98"/>
    <w:rsid w:val="00271A21"/>
    <w:rsid w:val="00282D04"/>
    <w:rsid w:val="0028552C"/>
    <w:rsid w:val="00296983"/>
    <w:rsid w:val="002B3FE0"/>
    <w:rsid w:val="002C7FE6"/>
    <w:rsid w:val="0030337F"/>
    <w:rsid w:val="00304765"/>
    <w:rsid w:val="00307615"/>
    <w:rsid w:val="003136E3"/>
    <w:rsid w:val="00317415"/>
    <w:rsid w:val="00341C9D"/>
    <w:rsid w:val="00365BC3"/>
    <w:rsid w:val="003F5AA4"/>
    <w:rsid w:val="00424FBB"/>
    <w:rsid w:val="00437CBE"/>
    <w:rsid w:val="00455D1D"/>
    <w:rsid w:val="00470E2A"/>
    <w:rsid w:val="004A4C0D"/>
    <w:rsid w:val="004A7339"/>
    <w:rsid w:val="004B1350"/>
    <w:rsid w:val="004C7A99"/>
    <w:rsid w:val="004F1F2A"/>
    <w:rsid w:val="004F6C3F"/>
    <w:rsid w:val="00516BDA"/>
    <w:rsid w:val="00536354"/>
    <w:rsid w:val="00536B05"/>
    <w:rsid w:val="0055218C"/>
    <w:rsid w:val="0055609B"/>
    <w:rsid w:val="0059765D"/>
    <w:rsid w:val="005C50ED"/>
    <w:rsid w:val="005F747A"/>
    <w:rsid w:val="005F7C9B"/>
    <w:rsid w:val="00623E77"/>
    <w:rsid w:val="00655B3D"/>
    <w:rsid w:val="006656BE"/>
    <w:rsid w:val="006A2941"/>
    <w:rsid w:val="006B29BA"/>
    <w:rsid w:val="006C5618"/>
    <w:rsid w:val="006D05D6"/>
    <w:rsid w:val="006F4200"/>
    <w:rsid w:val="006F4885"/>
    <w:rsid w:val="006F58D1"/>
    <w:rsid w:val="00746177"/>
    <w:rsid w:val="00777AF6"/>
    <w:rsid w:val="007948D7"/>
    <w:rsid w:val="007B0BC4"/>
    <w:rsid w:val="007C1E0C"/>
    <w:rsid w:val="007C6582"/>
    <w:rsid w:val="007D73C8"/>
    <w:rsid w:val="007D7788"/>
    <w:rsid w:val="007F000B"/>
    <w:rsid w:val="0080797F"/>
    <w:rsid w:val="00853ACB"/>
    <w:rsid w:val="00856358"/>
    <w:rsid w:val="008952E5"/>
    <w:rsid w:val="008B16D5"/>
    <w:rsid w:val="008B183A"/>
    <w:rsid w:val="009107E1"/>
    <w:rsid w:val="00917D5C"/>
    <w:rsid w:val="0093676A"/>
    <w:rsid w:val="00946347"/>
    <w:rsid w:val="00946A97"/>
    <w:rsid w:val="009931E4"/>
    <w:rsid w:val="00993D44"/>
    <w:rsid w:val="00994A42"/>
    <w:rsid w:val="009B2364"/>
    <w:rsid w:val="009B4587"/>
    <w:rsid w:val="00A02913"/>
    <w:rsid w:val="00A02AF1"/>
    <w:rsid w:val="00A06D94"/>
    <w:rsid w:val="00A153DC"/>
    <w:rsid w:val="00A22ABD"/>
    <w:rsid w:val="00A43D8E"/>
    <w:rsid w:val="00A5005B"/>
    <w:rsid w:val="00A56136"/>
    <w:rsid w:val="00A804B9"/>
    <w:rsid w:val="00A922D5"/>
    <w:rsid w:val="00AB447D"/>
    <w:rsid w:val="00AC4BA4"/>
    <w:rsid w:val="00B611F0"/>
    <w:rsid w:val="00B952C4"/>
    <w:rsid w:val="00BA5395"/>
    <w:rsid w:val="00BB689D"/>
    <w:rsid w:val="00BC0B8A"/>
    <w:rsid w:val="00BE5482"/>
    <w:rsid w:val="00C00ED3"/>
    <w:rsid w:val="00C107DC"/>
    <w:rsid w:val="00C7171A"/>
    <w:rsid w:val="00C945AB"/>
    <w:rsid w:val="00CB5DE6"/>
    <w:rsid w:val="00D0255A"/>
    <w:rsid w:val="00D17BA7"/>
    <w:rsid w:val="00D279A1"/>
    <w:rsid w:val="00D34A75"/>
    <w:rsid w:val="00D63101"/>
    <w:rsid w:val="00D655FB"/>
    <w:rsid w:val="00D81626"/>
    <w:rsid w:val="00D97308"/>
    <w:rsid w:val="00DC7474"/>
    <w:rsid w:val="00DD2422"/>
    <w:rsid w:val="00DF090F"/>
    <w:rsid w:val="00DF18F4"/>
    <w:rsid w:val="00E019D6"/>
    <w:rsid w:val="00E119FF"/>
    <w:rsid w:val="00E604DB"/>
    <w:rsid w:val="00E64400"/>
    <w:rsid w:val="00E8050C"/>
    <w:rsid w:val="00E82F11"/>
    <w:rsid w:val="00E94F6A"/>
    <w:rsid w:val="00EA088C"/>
    <w:rsid w:val="00EE7BE5"/>
    <w:rsid w:val="00EF384A"/>
    <w:rsid w:val="00F1591F"/>
    <w:rsid w:val="00F43D0A"/>
    <w:rsid w:val="00F5790C"/>
    <w:rsid w:val="00F77101"/>
    <w:rsid w:val="00F77166"/>
    <w:rsid w:val="00F97395"/>
    <w:rsid w:val="00FE1161"/>
    <w:rsid w:val="00FF72E4"/>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E119FF"/>
    <w:rPr>
      <w:rFonts w:ascii="Perpetua Std" w:hAnsi="Perpetua Std"/>
    </w:rPr>
  </w:style>
  <w:style w:type="paragraph" w:styleId="Heading1">
    <w:name w:val="heading 1"/>
    <w:basedOn w:val="Normal"/>
    <w:next w:val="Normal"/>
    <w:link w:val="Heading1Char"/>
    <w:qFormat/>
    <w:rsid w:val="00E119FF"/>
    <w:pPr>
      <w:keepNext/>
      <w:outlineLvl w:val="0"/>
    </w:pPr>
    <w:rPr>
      <w:b/>
    </w:rPr>
  </w:style>
  <w:style w:type="paragraph" w:styleId="Heading2">
    <w:name w:val="heading 2"/>
    <w:basedOn w:val="Normal"/>
    <w:next w:val="Normal"/>
    <w:link w:val="Heading2Char"/>
    <w:qFormat/>
    <w:rsid w:val="00E119FF"/>
    <w:pPr>
      <w:keepNext/>
      <w:spacing w:before="240" w:after="60"/>
      <w:outlineLvl w:val="1"/>
    </w:pPr>
    <w:rPr>
      <w:rFonts w:ascii="Arial" w:hAnsi="Arial"/>
      <w:b/>
      <w:i/>
      <w:sz w:val="24"/>
    </w:rPr>
  </w:style>
  <w:style w:type="paragraph" w:styleId="Heading3">
    <w:name w:val="heading 3"/>
    <w:basedOn w:val="Normal"/>
    <w:next w:val="Normal"/>
    <w:link w:val="Heading3Char"/>
    <w:qFormat/>
    <w:rsid w:val="00E119FF"/>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E119FF"/>
    <w:pPr>
      <w:spacing w:after="240"/>
      <w:jc w:val="both"/>
    </w:pPr>
    <w:rPr>
      <w:rFonts w:ascii="Helvetica LT Std" w:hAnsi="Helvetica LT Std"/>
      <w:b/>
      <w:color w:val="000000"/>
      <w:sz w:val="26"/>
    </w:rPr>
  </w:style>
  <w:style w:type="paragraph" w:styleId="FootnoteText">
    <w:name w:val="footnote text"/>
    <w:basedOn w:val="Normal"/>
    <w:link w:val="FootnoteTextChar"/>
    <w:rsid w:val="00536B05"/>
  </w:style>
  <w:style w:type="character" w:customStyle="1" w:styleId="FootnoteTextChar">
    <w:name w:val="Footnote Text Char"/>
    <w:link w:val="FootnoteText"/>
    <w:rsid w:val="00536B05"/>
    <w:rPr>
      <w:sz w:val="20"/>
      <w:szCs w:val="20"/>
    </w:rPr>
  </w:style>
  <w:style w:type="character" w:styleId="FootnoteReference">
    <w:name w:val="footnote reference"/>
    <w:rsid w:val="00E119FF"/>
    <w:rPr>
      <w:vertAlign w:val="superscript"/>
    </w:rPr>
  </w:style>
  <w:style w:type="paragraph" w:customStyle="1" w:styleId="PA">
    <w:name w:val="PA"/>
    <w:next w:val="Normal"/>
    <w:link w:val="PAChar"/>
    <w:rsid w:val="00E119FF"/>
    <w:pPr>
      <w:spacing w:after="240"/>
      <w:ind w:firstLine="288"/>
      <w:jc w:val="both"/>
    </w:pPr>
    <w:rPr>
      <w:rFonts w:ascii="Perpetua Std" w:hAnsi="Perpetua Std"/>
      <w:color w:val="000000"/>
      <w:sz w:val="24"/>
    </w:rPr>
  </w:style>
  <w:style w:type="character" w:customStyle="1" w:styleId="PAChar">
    <w:name w:val="PA Char"/>
    <w:link w:val="PA"/>
    <w:rsid w:val="00E119FF"/>
    <w:rPr>
      <w:rFonts w:ascii="Perpetua Std" w:hAnsi="Perpetua Std"/>
      <w:color w:val="000000"/>
      <w:sz w:val="24"/>
    </w:rPr>
  </w:style>
  <w:style w:type="character" w:styleId="Hyperlink">
    <w:name w:val="Hyperlink"/>
    <w:rsid w:val="00A804B9"/>
    <w:rPr>
      <w:color w:val="0000FF"/>
      <w:u w:val="single"/>
    </w:rPr>
  </w:style>
  <w:style w:type="paragraph" w:styleId="BalloonText">
    <w:name w:val="Balloon Text"/>
    <w:basedOn w:val="Normal"/>
    <w:link w:val="BalloonTextChar"/>
    <w:rsid w:val="00B611F0"/>
    <w:rPr>
      <w:rFonts w:ascii="Tahoma" w:hAnsi="Tahoma" w:cs="Tahoma"/>
      <w:sz w:val="16"/>
      <w:szCs w:val="16"/>
    </w:rPr>
  </w:style>
  <w:style w:type="character" w:customStyle="1" w:styleId="BalloonTextChar">
    <w:name w:val="Balloon Text Char"/>
    <w:link w:val="BalloonText"/>
    <w:rsid w:val="00B611F0"/>
    <w:rPr>
      <w:rFonts w:ascii="Tahoma" w:hAnsi="Tahoma" w:cs="Tahoma"/>
      <w:sz w:val="16"/>
      <w:szCs w:val="16"/>
    </w:rPr>
  </w:style>
  <w:style w:type="paragraph" w:styleId="Footer">
    <w:name w:val="footer"/>
    <w:basedOn w:val="Normal"/>
    <w:link w:val="FooterChar"/>
    <w:rsid w:val="00E119FF"/>
    <w:pPr>
      <w:tabs>
        <w:tab w:val="center" w:pos="4320"/>
        <w:tab w:val="right" w:pos="8640"/>
      </w:tabs>
    </w:pPr>
  </w:style>
  <w:style w:type="character" w:customStyle="1" w:styleId="FooterChar">
    <w:name w:val="Footer Char"/>
    <w:link w:val="Footer"/>
    <w:rsid w:val="00B611F0"/>
    <w:rPr>
      <w:rFonts w:ascii="Perpetua Std" w:hAnsi="Perpetua Std"/>
    </w:rPr>
  </w:style>
  <w:style w:type="paragraph" w:styleId="Header">
    <w:name w:val="header"/>
    <w:basedOn w:val="Normal"/>
    <w:link w:val="HeaderChar"/>
    <w:rsid w:val="00E119FF"/>
    <w:pPr>
      <w:tabs>
        <w:tab w:val="center" w:pos="4320"/>
        <w:tab w:val="right" w:pos="8640"/>
      </w:tabs>
    </w:pPr>
  </w:style>
  <w:style w:type="character" w:customStyle="1" w:styleId="HeaderChar">
    <w:name w:val="Header Char"/>
    <w:link w:val="Header"/>
    <w:rsid w:val="00B611F0"/>
    <w:rPr>
      <w:rFonts w:ascii="Perpetua Std" w:hAnsi="Perpetua Std"/>
    </w:rPr>
  </w:style>
  <w:style w:type="paragraph" w:customStyle="1" w:styleId="Standard">
    <w:name w:val="Standard"/>
    <w:rsid w:val="00E119FF"/>
    <w:pPr>
      <w:spacing w:before="144"/>
      <w:jc w:val="both"/>
    </w:pPr>
    <w:rPr>
      <w:noProof/>
    </w:rPr>
  </w:style>
  <w:style w:type="paragraph" w:customStyle="1" w:styleId="PB">
    <w:name w:val="PB"/>
    <w:rsid w:val="00E119FF"/>
    <w:pPr>
      <w:spacing w:after="240"/>
      <w:jc w:val="both"/>
    </w:pPr>
    <w:rPr>
      <w:rFonts w:ascii="Perpetua Std" w:hAnsi="Perpetua Std"/>
      <w:color w:val="000000"/>
      <w:sz w:val="24"/>
    </w:rPr>
  </w:style>
  <w:style w:type="paragraph" w:customStyle="1" w:styleId="PC">
    <w:name w:val="PC"/>
    <w:rsid w:val="00E119FF"/>
    <w:pPr>
      <w:tabs>
        <w:tab w:val="left" w:pos="720"/>
      </w:tabs>
      <w:spacing w:after="240"/>
      <w:ind w:left="720" w:hanging="360"/>
      <w:jc w:val="both"/>
    </w:pPr>
    <w:rPr>
      <w:rFonts w:ascii="Perpetua Std" w:hAnsi="Perpetua Std"/>
      <w:color w:val="000000"/>
      <w:sz w:val="24"/>
    </w:rPr>
  </w:style>
  <w:style w:type="paragraph" w:customStyle="1" w:styleId="PD">
    <w:name w:val="PD"/>
    <w:rsid w:val="00E119FF"/>
    <w:pPr>
      <w:spacing w:after="240"/>
      <w:ind w:left="720" w:firstLine="288"/>
      <w:jc w:val="both"/>
    </w:pPr>
    <w:rPr>
      <w:rFonts w:ascii="Perpetua Std" w:hAnsi="Perpetua Std"/>
      <w:color w:val="000000"/>
      <w:sz w:val="24"/>
    </w:rPr>
  </w:style>
  <w:style w:type="paragraph" w:customStyle="1" w:styleId="PE">
    <w:name w:val="PE"/>
    <w:rsid w:val="00E119FF"/>
    <w:pPr>
      <w:spacing w:after="240"/>
      <w:ind w:left="720"/>
      <w:jc w:val="both"/>
    </w:pPr>
    <w:rPr>
      <w:rFonts w:ascii="Perpetua Std" w:hAnsi="Perpetua Std"/>
      <w:color w:val="000000"/>
      <w:sz w:val="24"/>
    </w:rPr>
  </w:style>
  <w:style w:type="paragraph" w:customStyle="1" w:styleId="PF">
    <w:name w:val="PF"/>
    <w:rsid w:val="00E119FF"/>
    <w:pPr>
      <w:tabs>
        <w:tab w:val="left" w:pos="1080"/>
      </w:tabs>
      <w:spacing w:after="240"/>
      <w:ind w:left="1080" w:hanging="360"/>
      <w:jc w:val="both"/>
    </w:pPr>
    <w:rPr>
      <w:rFonts w:ascii="Perpetua Std" w:hAnsi="Perpetua Std"/>
      <w:color w:val="000000"/>
      <w:sz w:val="24"/>
    </w:rPr>
  </w:style>
  <w:style w:type="paragraph" w:customStyle="1" w:styleId="PG">
    <w:name w:val="PG"/>
    <w:rsid w:val="00E119FF"/>
    <w:pPr>
      <w:spacing w:after="240"/>
      <w:ind w:left="360"/>
      <w:jc w:val="both"/>
    </w:pPr>
    <w:rPr>
      <w:rFonts w:ascii="Perpetua Std" w:hAnsi="Perpetua Std"/>
      <w:color w:val="000000"/>
      <w:sz w:val="24"/>
    </w:rPr>
  </w:style>
  <w:style w:type="paragraph" w:customStyle="1" w:styleId="PH">
    <w:name w:val="PH"/>
    <w:rsid w:val="00E119FF"/>
    <w:pPr>
      <w:tabs>
        <w:tab w:val="left" w:pos="360"/>
      </w:tabs>
      <w:spacing w:after="240"/>
      <w:ind w:left="360" w:hanging="360"/>
      <w:jc w:val="both"/>
    </w:pPr>
    <w:rPr>
      <w:rFonts w:ascii="Perpetua Std" w:hAnsi="Perpetua Std"/>
      <w:color w:val="000000"/>
      <w:sz w:val="24"/>
    </w:rPr>
  </w:style>
  <w:style w:type="paragraph" w:customStyle="1" w:styleId="PI">
    <w:name w:val="PI"/>
    <w:rsid w:val="00E119FF"/>
    <w:pPr>
      <w:spacing w:after="240"/>
      <w:ind w:left="360" w:hanging="360"/>
      <w:jc w:val="both"/>
    </w:pPr>
    <w:rPr>
      <w:rFonts w:ascii="Perpetua Std" w:hAnsi="Perpetua Std"/>
      <w:color w:val="000000"/>
      <w:sz w:val="24"/>
    </w:rPr>
  </w:style>
  <w:style w:type="paragraph" w:customStyle="1" w:styleId="PK">
    <w:name w:val="PK"/>
    <w:rsid w:val="00E119FF"/>
    <w:pPr>
      <w:spacing w:after="240"/>
      <w:ind w:left="360" w:firstLine="288"/>
      <w:jc w:val="both"/>
    </w:pPr>
    <w:rPr>
      <w:rFonts w:ascii="Perpetua Std" w:hAnsi="Perpetua Std"/>
      <w:color w:val="000000"/>
      <w:sz w:val="24"/>
    </w:rPr>
  </w:style>
  <w:style w:type="paragraph" w:customStyle="1" w:styleId="PL">
    <w:name w:val="PL"/>
    <w:rsid w:val="00E119FF"/>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E119FF"/>
    <w:pPr>
      <w:spacing w:after="240"/>
      <w:ind w:left="432" w:right="432" w:firstLine="432"/>
      <w:jc w:val="both"/>
    </w:pPr>
    <w:rPr>
      <w:rFonts w:ascii="Minion Pro" w:hAnsi="Minion Pro"/>
    </w:rPr>
  </w:style>
  <w:style w:type="paragraph" w:customStyle="1" w:styleId="TOC">
    <w:name w:val="TOC"/>
    <w:autoRedefine/>
    <w:rsid w:val="00E119FF"/>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E119FF"/>
    <w:pPr>
      <w:tabs>
        <w:tab w:val="clear" w:pos="1440"/>
        <w:tab w:val="clear" w:pos="8640"/>
        <w:tab w:val="left" w:pos="240"/>
        <w:tab w:val="left" w:pos="480"/>
        <w:tab w:val="right" w:leader="dot" w:pos="4680"/>
      </w:tabs>
      <w:ind w:left="0" w:firstLine="0"/>
    </w:pPr>
    <w:rPr>
      <w:sz w:val="22"/>
    </w:rPr>
  </w:style>
  <w:style w:type="paragraph" w:customStyle="1" w:styleId="PQ">
    <w:name w:val="PQ"/>
    <w:link w:val="PQChar"/>
    <w:rsid w:val="00E119FF"/>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E119FF"/>
    <w:rPr>
      <w:rFonts w:ascii="Adobe Caslon Pro" w:hAnsi="Adobe Caslon Pro"/>
      <w:color w:val="000000"/>
      <w:sz w:val="14"/>
    </w:rPr>
  </w:style>
  <w:style w:type="paragraph" w:customStyle="1" w:styleId="HD">
    <w:name w:val="HD"/>
    <w:rsid w:val="00E119FF"/>
    <w:pPr>
      <w:suppressAutoHyphens/>
      <w:spacing w:before="120"/>
      <w:jc w:val="center"/>
    </w:pPr>
    <w:rPr>
      <w:rFonts w:ascii="Helvetica LT Std" w:hAnsi="Helvetica LT Std"/>
      <w:sz w:val="26"/>
      <w:szCs w:val="18"/>
    </w:rPr>
  </w:style>
  <w:style w:type="paragraph" w:customStyle="1" w:styleId="PP">
    <w:name w:val="PP"/>
    <w:rsid w:val="00E119FF"/>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E119FF"/>
    <w:pPr>
      <w:spacing w:before="120" w:after="120"/>
      <w:jc w:val="center"/>
    </w:pPr>
    <w:rPr>
      <w:rFonts w:ascii="Helvetica LT Std" w:hAnsi="Helvetica LT Std"/>
      <w:sz w:val="24"/>
    </w:rPr>
  </w:style>
  <w:style w:type="paragraph" w:customStyle="1" w:styleId="PN">
    <w:name w:val="PN"/>
    <w:rsid w:val="00E119FF"/>
    <w:pPr>
      <w:spacing w:after="240"/>
      <w:ind w:left="720" w:firstLine="288"/>
      <w:jc w:val="both"/>
    </w:pPr>
    <w:rPr>
      <w:rFonts w:ascii="Perpetua Std" w:eastAsia="MS Mincho" w:hAnsi="Perpetua Std"/>
      <w:color w:val="000000"/>
    </w:rPr>
  </w:style>
  <w:style w:type="table" w:styleId="TableGrid">
    <w:name w:val="Table Grid"/>
    <w:basedOn w:val="TableNormal"/>
    <w:rsid w:val="00E11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E119FF"/>
    <w:pPr>
      <w:spacing w:after="240"/>
      <w:jc w:val="center"/>
    </w:pPr>
    <w:rPr>
      <w:rFonts w:ascii="Helvetica LT Std" w:hAnsi="Helvetica LT Std"/>
      <w:b/>
      <w:caps/>
      <w:color w:val="000000"/>
      <w:sz w:val="36"/>
      <w:szCs w:val="32"/>
    </w:rPr>
  </w:style>
  <w:style w:type="paragraph" w:customStyle="1" w:styleId="HB">
    <w:name w:val="HB"/>
    <w:rsid w:val="00E119FF"/>
    <w:pPr>
      <w:spacing w:before="120" w:after="240"/>
      <w:jc w:val="center"/>
    </w:pPr>
    <w:rPr>
      <w:rFonts w:ascii="Helvetica LT Std" w:hAnsi="Helvetica LT Std"/>
      <w:b/>
      <w:color w:val="5F5F5F"/>
      <w:w w:val="105"/>
      <w:sz w:val="32"/>
    </w:rPr>
  </w:style>
  <w:style w:type="paragraph" w:customStyle="1" w:styleId="HC">
    <w:name w:val="HC"/>
    <w:autoRedefine/>
    <w:rsid w:val="00E119FF"/>
    <w:pPr>
      <w:tabs>
        <w:tab w:val="left" w:pos="284"/>
      </w:tabs>
      <w:spacing w:before="120" w:after="120"/>
      <w:jc w:val="center"/>
    </w:pPr>
    <w:rPr>
      <w:rFonts w:ascii="Helvetica LT Std" w:hAnsi="Helvetica LT Std"/>
      <w:b/>
      <w:color w:val="000000"/>
      <w:w w:val="110"/>
      <w:sz w:val="26"/>
    </w:rPr>
  </w:style>
  <w:style w:type="paragraph" w:customStyle="1" w:styleId="PR">
    <w:name w:val="PR"/>
    <w:rsid w:val="00E119FF"/>
    <w:pPr>
      <w:spacing w:after="240"/>
      <w:ind w:left="360" w:firstLine="288"/>
      <w:jc w:val="both"/>
    </w:pPr>
    <w:rPr>
      <w:rFonts w:ascii="Adobe Caslon Pro" w:hAnsi="Adobe Caslon Pro"/>
      <w:color w:val="000000"/>
      <w:sz w:val="14"/>
    </w:rPr>
  </w:style>
  <w:style w:type="paragraph" w:customStyle="1" w:styleId="PO">
    <w:name w:val="PO"/>
    <w:rsid w:val="00E119FF"/>
    <w:pPr>
      <w:spacing w:after="240"/>
      <w:jc w:val="both"/>
    </w:pPr>
    <w:rPr>
      <w:rFonts w:ascii="Perpetua Std" w:hAnsi="Perpetua Std"/>
      <w:color w:val="000000"/>
      <w:w w:val="95"/>
      <w:szCs w:val="16"/>
    </w:rPr>
  </w:style>
  <w:style w:type="paragraph" w:customStyle="1" w:styleId="GUIDEX">
    <w:name w:val="GUIDEX"/>
    <w:rsid w:val="00E119FF"/>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E119FF"/>
    <w:pPr>
      <w:tabs>
        <w:tab w:val="clear" w:pos="240"/>
        <w:tab w:val="clear" w:pos="480"/>
        <w:tab w:val="clear" w:pos="720"/>
        <w:tab w:val="right" w:pos="4680"/>
      </w:tabs>
    </w:pPr>
  </w:style>
  <w:style w:type="paragraph" w:customStyle="1" w:styleId="PCB">
    <w:name w:val="PCB"/>
    <w:autoRedefine/>
    <w:rsid w:val="00E119FF"/>
    <w:pPr>
      <w:numPr>
        <w:numId w:val="13"/>
      </w:numPr>
      <w:tabs>
        <w:tab w:val="left" w:pos="720"/>
      </w:tabs>
      <w:spacing w:after="240"/>
      <w:ind w:left="720"/>
      <w:jc w:val="both"/>
    </w:pPr>
    <w:rPr>
      <w:rFonts w:ascii="Perpetua Std" w:hAnsi="Perpetua Std"/>
      <w:color w:val="000000"/>
      <w:sz w:val="24"/>
    </w:rPr>
  </w:style>
  <w:style w:type="paragraph" w:customStyle="1" w:styleId="PFB">
    <w:name w:val="PFB"/>
    <w:autoRedefine/>
    <w:rsid w:val="00E119FF"/>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E119FF"/>
    <w:rPr>
      <w:rFonts w:ascii="Perpetua Std" w:hAnsi="Perpetua Std"/>
    </w:rPr>
  </w:style>
  <w:style w:type="paragraph" w:styleId="NoSpacing">
    <w:name w:val="No Spacing"/>
    <w:qFormat/>
    <w:rsid w:val="00E119FF"/>
    <w:rPr>
      <w:rFonts w:ascii="Perpetua" w:hAnsi="Perpetua"/>
    </w:rPr>
  </w:style>
  <w:style w:type="paragraph" w:customStyle="1" w:styleId="PCA">
    <w:name w:val="PCA"/>
    <w:rsid w:val="00E119FF"/>
    <w:pPr>
      <w:numPr>
        <w:numId w:val="16"/>
      </w:numPr>
      <w:tabs>
        <w:tab w:val="left" w:pos="720"/>
      </w:tabs>
      <w:spacing w:after="240"/>
      <w:jc w:val="both"/>
    </w:pPr>
    <w:rPr>
      <w:rFonts w:ascii="Perpetua Std" w:hAnsi="Perpetua Std"/>
      <w:sz w:val="24"/>
    </w:rPr>
  </w:style>
  <w:style w:type="paragraph" w:customStyle="1" w:styleId="PHB">
    <w:name w:val="PHB"/>
    <w:rsid w:val="00E119FF"/>
    <w:pPr>
      <w:numPr>
        <w:numId w:val="17"/>
      </w:numPr>
      <w:tabs>
        <w:tab w:val="left" w:pos="360"/>
      </w:tabs>
      <w:spacing w:after="240"/>
      <w:jc w:val="both"/>
    </w:pPr>
    <w:rPr>
      <w:rFonts w:ascii="Perpetua Std" w:hAnsi="Perpetua Std"/>
      <w:sz w:val="24"/>
    </w:rPr>
  </w:style>
  <w:style w:type="character" w:customStyle="1" w:styleId="IndexChar">
    <w:name w:val="Index Char"/>
    <w:link w:val="Index"/>
    <w:rsid w:val="00E119FF"/>
    <w:rPr>
      <w:rFonts w:ascii="Perpetua Std" w:eastAsia="MS Mincho" w:hAnsi="Perpetua Std"/>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E119FF"/>
    <w:rPr>
      <w:rFonts w:ascii="Perpetua Std" w:hAnsi="Perpetua Std"/>
    </w:rPr>
  </w:style>
  <w:style w:type="paragraph" w:styleId="Heading1">
    <w:name w:val="heading 1"/>
    <w:basedOn w:val="Normal"/>
    <w:next w:val="Normal"/>
    <w:link w:val="Heading1Char"/>
    <w:qFormat/>
    <w:rsid w:val="00E119FF"/>
    <w:pPr>
      <w:keepNext/>
      <w:outlineLvl w:val="0"/>
    </w:pPr>
    <w:rPr>
      <w:b/>
    </w:rPr>
  </w:style>
  <w:style w:type="paragraph" w:styleId="Heading2">
    <w:name w:val="heading 2"/>
    <w:basedOn w:val="Normal"/>
    <w:next w:val="Normal"/>
    <w:link w:val="Heading2Char"/>
    <w:qFormat/>
    <w:rsid w:val="00E119FF"/>
    <w:pPr>
      <w:keepNext/>
      <w:spacing w:before="240" w:after="60"/>
      <w:outlineLvl w:val="1"/>
    </w:pPr>
    <w:rPr>
      <w:rFonts w:ascii="Arial" w:hAnsi="Arial"/>
      <w:b/>
      <w:i/>
      <w:sz w:val="24"/>
    </w:rPr>
  </w:style>
  <w:style w:type="paragraph" w:styleId="Heading3">
    <w:name w:val="heading 3"/>
    <w:basedOn w:val="Normal"/>
    <w:next w:val="Normal"/>
    <w:link w:val="Heading3Char"/>
    <w:qFormat/>
    <w:rsid w:val="00E119FF"/>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E119FF"/>
    <w:pPr>
      <w:spacing w:after="240"/>
      <w:jc w:val="both"/>
    </w:pPr>
    <w:rPr>
      <w:rFonts w:ascii="Helvetica LT Std" w:hAnsi="Helvetica LT Std"/>
      <w:b/>
      <w:color w:val="000000"/>
      <w:sz w:val="26"/>
    </w:rPr>
  </w:style>
  <w:style w:type="paragraph" w:styleId="FootnoteText">
    <w:name w:val="footnote text"/>
    <w:basedOn w:val="Normal"/>
    <w:link w:val="FootnoteTextChar"/>
    <w:rsid w:val="00536B05"/>
  </w:style>
  <w:style w:type="character" w:customStyle="1" w:styleId="FootnoteTextChar">
    <w:name w:val="Footnote Text Char"/>
    <w:link w:val="FootnoteText"/>
    <w:rsid w:val="00536B05"/>
    <w:rPr>
      <w:sz w:val="20"/>
      <w:szCs w:val="20"/>
    </w:rPr>
  </w:style>
  <w:style w:type="character" w:styleId="FootnoteReference">
    <w:name w:val="footnote reference"/>
    <w:rsid w:val="00E119FF"/>
    <w:rPr>
      <w:vertAlign w:val="superscript"/>
    </w:rPr>
  </w:style>
  <w:style w:type="paragraph" w:customStyle="1" w:styleId="PA">
    <w:name w:val="PA"/>
    <w:next w:val="Normal"/>
    <w:link w:val="PAChar"/>
    <w:rsid w:val="00E119FF"/>
    <w:pPr>
      <w:spacing w:after="240"/>
      <w:ind w:firstLine="288"/>
      <w:jc w:val="both"/>
    </w:pPr>
    <w:rPr>
      <w:rFonts w:ascii="Perpetua Std" w:hAnsi="Perpetua Std"/>
      <w:color w:val="000000"/>
      <w:sz w:val="24"/>
    </w:rPr>
  </w:style>
  <w:style w:type="character" w:customStyle="1" w:styleId="PAChar">
    <w:name w:val="PA Char"/>
    <w:link w:val="PA"/>
    <w:rsid w:val="00E119FF"/>
    <w:rPr>
      <w:rFonts w:ascii="Perpetua Std" w:hAnsi="Perpetua Std"/>
      <w:color w:val="000000"/>
      <w:sz w:val="24"/>
    </w:rPr>
  </w:style>
  <w:style w:type="character" w:styleId="Hyperlink">
    <w:name w:val="Hyperlink"/>
    <w:rsid w:val="00A804B9"/>
    <w:rPr>
      <w:color w:val="0000FF"/>
      <w:u w:val="single"/>
    </w:rPr>
  </w:style>
  <w:style w:type="paragraph" w:styleId="BalloonText">
    <w:name w:val="Balloon Text"/>
    <w:basedOn w:val="Normal"/>
    <w:link w:val="BalloonTextChar"/>
    <w:rsid w:val="00B611F0"/>
    <w:rPr>
      <w:rFonts w:ascii="Tahoma" w:hAnsi="Tahoma" w:cs="Tahoma"/>
      <w:sz w:val="16"/>
      <w:szCs w:val="16"/>
    </w:rPr>
  </w:style>
  <w:style w:type="character" w:customStyle="1" w:styleId="BalloonTextChar">
    <w:name w:val="Balloon Text Char"/>
    <w:link w:val="BalloonText"/>
    <w:rsid w:val="00B611F0"/>
    <w:rPr>
      <w:rFonts w:ascii="Tahoma" w:hAnsi="Tahoma" w:cs="Tahoma"/>
      <w:sz w:val="16"/>
      <w:szCs w:val="16"/>
    </w:rPr>
  </w:style>
  <w:style w:type="paragraph" w:styleId="Footer">
    <w:name w:val="footer"/>
    <w:basedOn w:val="Normal"/>
    <w:link w:val="FooterChar"/>
    <w:rsid w:val="00E119FF"/>
    <w:pPr>
      <w:tabs>
        <w:tab w:val="center" w:pos="4320"/>
        <w:tab w:val="right" w:pos="8640"/>
      </w:tabs>
    </w:pPr>
  </w:style>
  <w:style w:type="character" w:customStyle="1" w:styleId="FooterChar">
    <w:name w:val="Footer Char"/>
    <w:link w:val="Footer"/>
    <w:rsid w:val="00B611F0"/>
    <w:rPr>
      <w:rFonts w:ascii="Perpetua Std" w:hAnsi="Perpetua Std"/>
    </w:rPr>
  </w:style>
  <w:style w:type="paragraph" w:styleId="Header">
    <w:name w:val="header"/>
    <w:basedOn w:val="Normal"/>
    <w:link w:val="HeaderChar"/>
    <w:rsid w:val="00E119FF"/>
    <w:pPr>
      <w:tabs>
        <w:tab w:val="center" w:pos="4320"/>
        <w:tab w:val="right" w:pos="8640"/>
      </w:tabs>
    </w:pPr>
  </w:style>
  <w:style w:type="character" w:customStyle="1" w:styleId="HeaderChar">
    <w:name w:val="Header Char"/>
    <w:link w:val="Header"/>
    <w:rsid w:val="00B611F0"/>
    <w:rPr>
      <w:rFonts w:ascii="Perpetua Std" w:hAnsi="Perpetua Std"/>
    </w:rPr>
  </w:style>
  <w:style w:type="paragraph" w:customStyle="1" w:styleId="Standard">
    <w:name w:val="Standard"/>
    <w:rsid w:val="00E119FF"/>
    <w:pPr>
      <w:spacing w:before="144"/>
      <w:jc w:val="both"/>
    </w:pPr>
    <w:rPr>
      <w:noProof/>
    </w:rPr>
  </w:style>
  <w:style w:type="paragraph" w:customStyle="1" w:styleId="PB">
    <w:name w:val="PB"/>
    <w:rsid w:val="00E119FF"/>
    <w:pPr>
      <w:spacing w:after="240"/>
      <w:jc w:val="both"/>
    </w:pPr>
    <w:rPr>
      <w:rFonts w:ascii="Perpetua Std" w:hAnsi="Perpetua Std"/>
      <w:color w:val="000000"/>
      <w:sz w:val="24"/>
    </w:rPr>
  </w:style>
  <w:style w:type="paragraph" w:customStyle="1" w:styleId="PC">
    <w:name w:val="PC"/>
    <w:rsid w:val="00E119FF"/>
    <w:pPr>
      <w:tabs>
        <w:tab w:val="left" w:pos="720"/>
      </w:tabs>
      <w:spacing w:after="240"/>
      <w:ind w:left="720" w:hanging="360"/>
      <w:jc w:val="both"/>
    </w:pPr>
    <w:rPr>
      <w:rFonts w:ascii="Perpetua Std" w:hAnsi="Perpetua Std"/>
      <w:color w:val="000000"/>
      <w:sz w:val="24"/>
    </w:rPr>
  </w:style>
  <w:style w:type="paragraph" w:customStyle="1" w:styleId="PD">
    <w:name w:val="PD"/>
    <w:rsid w:val="00E119FF"/>
    <w:pPr>
      <w:spacing w:after="240"/>
      <w:ind w:left="720" w:firstLine="288"/>
      <w:jc w:val="both"/>
    </w:pPr>
    <w:rPr>
      <w:rFonts w:ascii="Perpetua Std" w:hAnsi="Perpetua Std"/>
      <w:color w:val="000000"/>
      <w:sz w:val="24"/>
    </w:rPr>
  </w:style>
  <w:style w:type="paragraph" w:customStyle="1" w:styleId="PE">
    <w:name w:val="PE"/>
    <w:rsid w:val="00E119FF"/>
    <w:pPr>
      <w:spacing w:after="240"/>
      <w:ind w:left="720"/>
      <w:jc w:val="both"/>
    </w:pPr>
    <w:rPr>
      <w:rFonts w:ascii="Perpetua Std" w:hAnsi="Perpetua Std"/>
      <w:color w:val="000000"/>
      <w:sz w:val="24"/>
    </w:rPr>
  </w:style>
  <w:style w:type="paragraph" w:customStyle="1" w:styleId="PF">
    <w:name w:val="PF"/>
    <w:rsid w:val="00E119FF"/>
    <w:pPr>
      <w:tabs>
        <w:tab w:val="left" w:pos="1080"/>
      </w:tabs>
      <w:spacing w:after="240"/>
      <w:ind w:left="1080" w:hanging="360"/>
      <w:jc w:val="both"/>
    </w:pPr>
    <w:rPr>
      <w:rFonts w:ascii="Perpetua Std" w:hAnsi="Perpetua Std"/>
      <w:color w:val="000000"/>
      <w:sz w:val="24"/>
    </w:rPr>
  </w:style>
  <w:style w:type="paragraph" w:customStyle="1" w:styleId="PG">
    <w:name w:val="PG"/>
    <w:rsid w:val="00E119FF"/>
    <w:pPr>
      <w:spacing w:after="240"/>
      <w:ind w:left="360"/>
      <w:jc w:val="both"/>
    </w:pPr>
    <w:rPr>
      <w:rFonts w:ascii="Perpetua Std" w:hAnsi="Perpetua Std"/>
      <w:color w:val="000000"/>
      <w:sz w:val="24"/>
    </w:rPr>
  </w:style>
  <w:style w:type="paragraph" w:customStyle="1" w:styleId="PH">
    <w:name w:val="PH"/>
    <w:rsid w:val="00E119FF"/>
    <w:pPr>
      <w:tabs>
        <w:tab w:val="left" w:pos="360"/>
      </w:tabs>
      <w:spacing w:after="240"/>
      <w:ind w:left="360" w:hanging="360"/>
      <w:jc w:val="both"/>
    </w:pPr>
    <w:rPr>
      <w:rFonts w:ascii="Perpetua Std" w:hAnsi="Perpetua Std"/>
      <w:color w:val="000000"/>
      <w:sz w:val="24"/>
    </w:rPr>
  </w:style>
  <w:style w:type="paragraph" w:customStyle="1" w:styleId="PI">
    <w:name w:val="PI"/>
    <w:rsid w:val="00E119FF"/>
    <w:pPr>
      <w:spacing w:after="240"/>
      <w:ind w:left="360" w:hanging="360"/>
      <w:jc w:val="both"/>
    </w:pPr>
    <w:rPr>
      <w:rFonts w:ascii="Perpetua Std" w:hAnsi="Perpetua Std"/>
      <w:color w:val="000000"/>
      <w:sz w:val="24"/>
    </w:rPr>
  </w:style>
  <w:style w:type="paragraph" w:customStyle="1" w:styleId="PK">
    <w:name w:val="PK"/>
    <w:rsid w:val="00E119FF"/>
    <w:pPr>
      <w:spacing w:after="240"/>
      <w:ind w:left="360" w:firstLine="288"/>
      <w:jc w:val="both"/>
    </w:pPr>
    <w:rPr>
      <w:rFonts w:ascii="Perpetua Std" w:hAnsi="Perpetua Std"/>
      <w:color w:val="000000"/>
      <w:sz w:val="24"/>
    </w:rPr>
  </w:style>
  <w:style w:type="paragraph" w:customStyle="1" w:styleId="PL">
    <w:name w:val="PL"/>
    <w:rsid w:val="00E119FF"/>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E119FF"/>
    <w:pPr>
      <w:spacing w:after="240"/>
      <w:ind w:left="432" w:right="432" w:firstLine="432"/>
      <w:jc w:val="both"/>
    </w:pPr>
    <w:rPr>
      <w:rFonts w:ascii="Minion Pro" w:hAnsi="Minion Pro"/>
    </w:rPr>
  </w:style>
  <w:style w:type="paragraph" w:customStyle="1" w:styleId="TOC">
    <w:name w:val="TOC"/>
    <w:autoRedefine/>
    <w:rsid w:val="00E119FF"/>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E119FF"/>
    <w:pPr>
      <w:tabs>
        <w:tab w:val="clear" w:pos="1440"/>
        <w:tab w:val="clear" w:pos="8640"/>
        <w:tab w:val="left" w:pos="240"/>
        <w:tab w:val="left" w:pos="480"/>
        <w:tab w:val="right" w:leader="dot" w:pos="4680"/>
      </w:tabs>
      <w:ind w:left="0" w:firstLine="0"/>
    </w:pPr>
    <w:rPr>
      <w:sz w:val="22"/>
    </w:rPr>
  </w:style>
  <w:style w:type="paragraph" w:customStyle="1" w:styleId="PQ">
    <w:name w:val="PQ"/>
    <w:link w:val="PQChar"/>
    <w:rsid w:val="00E119FF"/>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E119FF"/>
    <w:rPr>
      <w:rFonts w:ascii="Adobe Caslon Pro" w:hAnsi="Adobe Caslon Pro"/>
      <w:color w:val="000000"/>
      <w:sz w:val="14"/>
    </w:rPr>
  </w:style>
  <w:style w:type="paragraph" w:customStyle="1" w:styleId="HD">
    <w:name w:val="HD"/>
    <w:rsid w:val="00E119FF"/>
    <w:pPr>
      <w:suppressAutoHyphens/>
      <w:spacing w:before="120"/>
      <w:jc w:val="center"/>
    </w:pPr>
    <w:rPr>
      <w:rFonts w:ascii="Helvetica LT Std" w:hAnsi="Helvetica LT Std"/>
      <w:sz w:val="26"/>
      <w:szCs w:val="18"/>
    </w:rPr>
  </w:style>
  <w:style w:type="paragraph" w:customStyle="1" w:styleId="PP">
    <w:name w:val="PP"/>
    <w:rsid w:val="00E119FF"/>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E119FF"/>
    <w:pPr>
      <w:spacing w:before="120" w:after="120"/>
      <w:jc w:val="center"/>
    </w:pPr>
    <w:rPr>
      <w:rFonts w:ascii="Helvetica LT Std" w:hAnsi="Helvetica LT Std"/>
      <w:sz w:val="24"/>
    </w:rPr>
  </w:style>
  <w:style w:type="paragraph" w:customStyle="1" w:styleId="PN">
    <w:name w:val="PN"/>
    <w:rsid w:val="00E119FF"/>
    <w:pPr>
      <w:spacing w:after="240"/>
      <w:ind w:left="720" w:firstLine="288"/>
      <w:jc w:val="both"/>
    </w:pPr>
    <w:rPr>
      <w:rFonts w:ascii="Perpetua Std" w:eastAsia="MS Mincho" w:hAnsi="Perpetua Std"/>
      <w:color w:val="000000"/>
    </w:rPr>
  </w:style>
  <w:style w:type="table" w:styleId="TableGrid">
    <w:name w:val="Table Grid"/>
    <w:basedOn w:val="TableNormal"/>
    <w:rsid w:val="00E11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E119FF"/>
    <w:pPr>
      <w:spacing w:after="240"/>
      <w:jc w:val="center"/>
    </w:pPr>
    <w:rPr>
      <w:rFonts w:ascii="Helvetica LT Std" w:hAnsi="Helvetica LT Std"/>
      <w:b/>
      <w:caps/>
      <w:color w:val="000000"/>
      <w:sz w:val="36"/>
      <w:szCs w:val="32"/>
    </w:rPr>
  </w:style>
  <w:style w:type="paragraph" w:customStyle="1" w:styleId="HB">
    <w:name w:val="HB"/>
    <w:rsid w:val="00E119FF"/>
    <w:pPr>
      <w:spacing w:before="120" w:after="240"/>
      <w:jc w:val="center"/>
    </w:pPr>
    <w:rPr>
      <w:rFonts w:ascii="Helvetica LT Std" w:hAnsi="Helvetica LT Std"/>
      <w:b/>
      <w:color w:val="5F5F5F"/>
      <w:w w:val="105"/>
      <w:sz w:val="32"/>
    </w:rPr>
  </w:style>
  <w:style w:type="paragraph" w:customStyle="1" w:styleId="HC">
    <w:name w:val="HC"/>
    <w:autoRedefine/>
    <w:rsid w:val="00E119FF"/>
    <w:pPr>
      <w:tabs>
        <w:tab w:val="left" w:pos="284"/>
      </w:tabs>
      <w:spacing w:before="120" w:after="120"/>
      <w:jc w:val="center"/>
    </w:pPr>
    <w:rPr>
      <w:rFonts w:ascii="Helvetica LT Std" w:hAnsi="Helvetica LT Std"/>
      <w:b/>
      <w:color w:val="000000"/>
      <w:w w:val="110"/>
      <w:sz w:val="26"/>
    </w:rPr>
  </w:style>
  <w:style w:type="paragraph" w:customStyle="1" w:styleId="PR">
    <w:name w:val="PR"/>
    <w:rsid w:val="00E119FF"/>
    <w:pPr>
      <w:spacing w:after="240"/>
      <w:ind w:left="360" w:firstLine="288"/>
      <w:jc w:val="both"/>
    </w:pPr>
    <w:rPr>
      <w:rFonts w:ascii="Adobe Caslon Pro" w:hAnsi="Adobe Caslon Pro"/>
      <w:color w:val="000000"/>
      <w:sz w:val="14"/>
    </w:rPr>
  </w:style>
  <w:style w:type="paragraph" w:customStyle="1" w:styleId="PO">
    <w:name w:val="PO"/>
    <w:rsid w:val="00E119FF"/>
    <w:pPr>
      <w:spacing w:after="240"/>
      <w:jc w:val="both"/>
    </w:pPr>
    <w:rPr>
      <w:rFonts w:ascii="Perpetua Std" w:hAnsi="Perpetua Std"/>
      <w:color w:val="000000"/>
      <w:w w:val="95"/>
      <w:szCs w:val="16"/>
    </w:rPr>
  </w:style>
  <w:style w:type="paragraph" w:customStyle="1" w:styleId="GUIDEX">
    <w:name w:val="GUIDEX"/>
    <w:rsid w:val="00E119FF"/>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E119FF"/>
    <w:pPr>
      <w:tabs>
        <w:tab w:val="clear" w:pos="240"/>
        <w:tab w:val="clear" w:pos="480"/>
        <w:tab w:val="clear" w:pos="720"/>
        <w:tab w:val="right" w:pos="4680"/>
      </w:tabs>
    </w:pPr>
  </w:style>
  <w:style w:type="paragraph" w:customStyle="1" w:styleId="PCB">
    <w:name w:val="PCB"/>
    <w:autoRedefine/>
    <w:rsid w:val="00E119FF"/>
    <w:pPr>
      <w:numPr>
        <w:numId w:val="13"/>
      </w:numPr>
      <w:tabs>
        <w:tab w:val="left" w:pos="720"/>
      </w:tabs>
      <w:spacing w:after="240"/>
      <w:ind w:left="720"/>
      <w:jc w:val="both"/>
    </w:pPr>
    <w:rPr>
      <w:rFonts w:ascii="Perpetua Std" w:hAnsi="Perpetua Std"/>
      <w:color w:val="000000"/>
      <w:sz w:val="24"/>
    </w:rPr>
  </w:style>
  <w:style w:type="paragraph" w:customStyle="1" w:styleId="PFB">
    <w:name w:val="PFB"/>
    <w:autoRedefine/>
    <w:rsid w:val="00E119FF"/>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E119FF"/>
    <w:rPr>
      <w:rFonts w:ascii="Perpetua Std" w:hAnsi="Perpetua Std"/>
    </w:rPr>
  </w:style>
  <w:style w:type="paragraph" w:styleId="NoSpacing">
    <w:name w:val="No Spacing"/>
    <w:qFormat/>
    <w:rsid w:val="00E119FF"/>
    <w:rPr>
      <w:rFonts w:ascii="Perpetua" w:hAnsi="Perpetua"/>
    </w:rPr>
  </w:style>
  <w:style w:type="paragraph" w:customStyle="1" w:styleId="PCA">
    <w:name w:val="PCA"/>
    <w:rsid w:val="00E119FF"/>
    <w:pPr>
      <w:numPr>
        <w:numId w:val="16"/>
      </w:numPr>
      <w:tabs>
        <w:tab w:val="left" w:pos="720"/>
      </w:tabs>
      <w:spacing w:after="240"/>
      <w:jc w:val="both"/>
    </w:pPr>
    <w:rPr>
      <w:rFonts w:ascii="Perpetua Std" w:hAnsi="Perpetua Std"/>
      <w:sz w:val="24"/>
    </w:rPr>
  </w:style>
  <w:style w:type="paragraph" w:customStyle="1" w:styleId="PHB">
    <w:name w:val="PHB"/>
    <w:rsid w:val="00E119FF"/>
    <w:pPr>
      <w:numPr>
        <w:numId w:val="17"/>
      </w:numPr>
      <w:tabs>
        <w:tab w:val="left" w:pos="360"/>
      </w:tabs>
      <w:spacing w:after="240"/>
      <w:jc w:val="both"/>
    </w:pPr>
    <w:rPr>
      <w:rFonts w:ascii="Perpetua Std" w:hAnsi="Perpetua Std"/>
      <w:sz w:val="24"/>
    </w:rPr>
  </w:style>
  <w:style w:type="character" w:customStyle="1" w:styleId="IndexChar">
    <w:name w:val="Index Char"/>
    <w:link w:val="Index"/>
    <w:rsid w:val="00E119FF"/>
    <w:rPr>
      <w:rFonts w:ascii="Perpetua Std" w:eastAsia="MS Mincho" w:hAnsi="Perpetua Std"/>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BA18F-2CEA-43D8-83C6-C6115B57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8564. Does the investment income tax apply to amounts received under an annuity contract?</vt:lpstr>
    </vt:vector>
  </TitlesOfParts>
  <Company>Summit Business Media</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8564. Does the investment income tax apply to amounts received under an annuity contract?</dc:title>
  <dc:creator>Alexis Long</dc:creator>
  <cp:lastModifiedBy>rcline</cp:lastModifiedBy>
  <cp:revision>2</cp:revision>
  <dcterms:created xsi:type="dcterms:W3CDTF">2014-07-08T19:47:00Z</dcterms:created>
  <dcterms:modified xsi:type="dcterms:W3CDTF">2014-07-08T19:47:00Z</dcterms:modified>
</cp:coreProperties>
</file>