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48" w:rsidRPr="00D70248" w:rsidRDefault="00483498" w:rsidP="00B611F0">
      <w:pPr>
        <w:pStyle w:val="PA"/>
        <w:rPr>
          <w:b/>
        </w:rPr>
      </w:pPr>
      <w:r>
        <w:rPr>
          <w:b/>
        </w:rPr>
        <w:t>8562</w:t>
      </w:r>
      <w:r w:rsidR="00D70248" w:rsidRPr="00D70248">
        <w:rPr>
          <w:b/>
        </w:rPr>
        <w:t xml:space="preserve">. </w:t>
      </w:r>
      <w:r w:rsidR="0088515D">
        <w:rPr>
          <w:b/>
        </w:rPr>
        <w:t>Are</w:t>
      </w:r>
      <w:r w:rsidR="00D70248" w:rsidRPr="00D70248">
        <w:rPr>
          <w:b/>
        </w:rPr>
        <w:t xml:space="preserve"> distributions from retirement accounts and qualified plans </w:t>
      </w:r>
      <w:r w:rsidR="0088515D">
        <w:rPr>
          <w:b/>
        </w:rPr>
        <w:t>included in net investment income</w:t>
      </w:r>
      <w:r w:rsidR="00D70248" w:rsidRPr="00D70248">
        <w:rPr>
          <w:b/>
        </w:rPr>
        <w:t>?</w:t>
      </w:r>
    </w:p>
    <w:p w:rsidR="007C6582" w:rsidRDefault="00483498" w:rsidP="00B611F0">
      <w:pPr>
        <w:pStyle w:val="PA"/>
        <w:rPr>
          <w:b/>
        </w:rPr>
      </w:pPr>
      <w:r>
        <w:t xml:space="preserve">No.  Although distributions from qualified plans often include earnings generated by traditional investment income, i.e., dividends and interests, </w:t>
      </w:r>
      <w:r w:rsidR="00BA5395">
        <w:t xml:space="preserve">distributions from qualified retirement plans </w:t>
      </w:r>
      <w:r w:rsidR="00437CBE" w:rsidRPr="00D34A75">
        <w:t>are not in</w:t>
      </w:r>
      <w:r w:rsidR="00BA5395">
        <w:t>cluded in net investment income</w:t>
      </w:r>
      <w:r w:rsidR="000D7E02">
        <w:t xml:space="preserve"> and thus are not subject to the </w:t>
      </w:r>
      <w:r w:rsidR="0041628D">
        <w:t xml:space="preserve">net </w:t>
      </w:r>
      <w:r w:rsidR="000D7E02">
        <w:t>investment income tax</w:t>
      </w:r>
      <w:r w:rsidR="00BA5395">
        <w:t>.</w:t>
      </w:r>
      <w:r w:rsidR="00BA5395" w:rsidRPr="00EE7BE5">
        <w:rPr>
          <w:rStyle w:val="FootnoteReference"/>
          <w:color w:val="auto"/>
        </w:rPr>
        <w:footnoteReference w:id="1"/>
      </w:r>
      <w:r w:rsidR="00A02913">
        <w:t xml:space="preserve"> </w:t>
      </w:r>
      <w:r w:rsidR="00BA5395">
        <w:t xml:space="preserve">This includes </w:t>
      </w:r>
      <w:r w:rsidR="000D7E02">
        <w:t xml:space="preserve">distributions from </w:t>
      </w:r>
      <w:r w:rsidR="00D80DBD">
        <w:t xml:space="preserve">qualified </w:t>
      </w:r>
      <w:r w:rsidR="00BA5395">
        <w:t>pl</w:t>
      </w:r>
      <w:r w:rsidR="007C6582">
        <w:t xml:space="preserve">ans </w:t>
      </w:r>
      <w:r w:rsidR="00D80DBD">
        <w:t>pursuant to</w:t>
      </w:r>
      <w:r w:rsidR="007C6582">
        <w:t>:</w:t>
      </w:r>
    </w:p>
    <w:p w:rsidR="007C6582" w:rsidRPr="00B611F0" w:rsidRDefault="00B611F0" w:rsidP="00B611F0">
      <w:pPr>
        <w:pStyle w:val="PC"/>
      </w:pPr>
      <w:r w:rsidRPr="00B611F0">
        <w:t>(1)</w:t>
      </w:r>
      <w:r w:rsidRPr="00B611F0">
        <w:tab/>
      </w:r>
      <w:r w:rsidR="007C6582" w:rsidRPr="00B611F0">
        <w:t>IRC Section</w:t>
      </w:r>
      <w:r w:rsidR="00BA5395" w:rsidRPr="00B611F0">
        <w:t xml:space="preserve"> 401(a)</w:t>
      </w:r>
      <w:r w:rsidR="007C6582" w:rsidRPr="00B611F0">
        <w:t xml:space="preserve"> (qualified pension, stock bonus or profit-sharing plan</w:t>
      </w:r>
      <w:r w:rsidR="00455D1D" w:rsidRPr="00B611F0">
        <w:t>s</w:t>
      </w:r>
      <w:r w:rsidR="007C6582" w:rsidRPr="00B611F0">
        <w:t>);</w:t>
      </w:r>
      <w:r w:rsidR="00BA5395" w:rsidRPr="00B611F0">
        <w:t xml:space="preserve"> </w:t>
      </w:r>
    </w:p>
    <w:p w:rsidR="007C6582" w:rsidRPr="00B611F0" w:rsidRDefault="00B611F0" w:rsidP="00B611F0">
      <w:pPr>
        <w:pStyle w:val="PC"/>
      </w:pPr>
      <w:r w:rsidRPr="00B611F0">
        <w:t>(2)</w:t>
      </w:r>
      <w:r w:rsidRPr="00B611F0">
        <w:tab/>
      </w:r>
      <w:r w:rsidR="007C6582" w:rsidRPr="00B611F0">
        <w:t xml:space="preserve">IRC Section </w:t>
      </w:r>
      <w:r w:rsidR="00BA5395" w:rsidRPr="00B611F0">
        <w:t>403(a)</w:t>
      </w:r>
      <w:r w:rsidR="007C6582" w:rsidRPr="00B611F0">
        <w:t xml:space="preserve"> (qualified annuity plans);</w:t>
      </w:r>
      <w:r w:rsidR="00BA5395" w:rsidRPr="00B611F0">
        <w:t xml:space="preserve"> </w:t>
      </w:r>
    </w:p>
    <w:p w:rsidR="007C6582" w:rsidRPr="00B611F0" w:rsidRDefault="00B611F0" w:rsidP="00B611F0">
      <w:pPr>
        <w:pStyle w:val="PC"/>
      </w:pPr>
      <w:r w:rsidRPr="00B611F0">
        <w:t>(3)</w:t>
      </w:r>
      <w:r w:rsidRPr="00B611F0">
        <w:tab/>
      </w:r>
      <w:r w:rsidR="007C6582" w:rsidRPr="00B611F0">
        <w:t xml:space="preserve">IRC Section </w:t>
      </w:r>
      <w:r w:rsidR="00BA5395" w:rsidRPr="00B611F0">
        <w:t>403(b)</w:t>
      </w:r>
      <w:r w:rsidR="007C6582" w:rsidRPr="00B611F0">
        <w:t xml:space="preserve"> (tax-sheltered annuities);</w:t>
      </w:r>
      <w:r w:rsidR="00BA5395" w:rsidRPr="00B611F0">
        <w:t xml:space="preserve"> </w:t>
      </w:r>
    </w:p>
    <w:p w:rsidR="007C6582" w:rsidRPr="00B611F0" w:rsidRDefault="00B611F0" w:rsidP="00B611F0">
      <w:pPr>
        <w:pStyle w:val="PC"/>
      </w:pPr>
      <w:r w:rsidRPr="00B611F0">
        <w:t>(4)</w:t>
      </w:r>
      <w:r w:rsidRPr="00B611F0">
        <w:tab/>
      </w:r>
      <w:r w:rsidR="007C6582" w:rsidRPr="00B611F0">
        <w:t xml:space="preserve">IRC Section </w:t>
      </w:r>
      <w:r w:rsidR="00BA5395" w:rsidRPr="00B611F0">
        <w:t>408</w:t>
      </w:r>
      <w:r w:rsidR="007C6582" w:rsidRPr="00B611F0">
        <w:t xml:space="preserve"> (individual retirement accounts);</w:t>
      </w:r>
      <w:r w:rsidR="00BA5395" w:rsidRPr="00B611F0">
        <w:t xml:space="preserve"> </w:t>
      </w:r>
    </w:p>
    <w:p w:rsidR="007C6582" w:rsidRPr="00B611F0" w:rsidRDefault="00B611F0" w:rsidP="00B611F0">
      <w:pPr>
        <w:pStyle w:val="PC"/>
      </w:pPr>
      <w:r w:rsidRPr="00B611F0">
        <w:t>(5)</w:t>
      </w:r>
      <w:r w:rsidRPr="00B611F0">
        <w:tab/>
      </w:r>
      <w:r w:rsidR="007C6582" w:rsidRPr="00B611F0">
        <w:t xml:space="preserve">IRC Section </w:t>
      </w:r>
      <w:r w:rsidR="00BA5395" w:rsidRPr="00B611F0">
        <w:t xml:space="preserve">408A </w:t>
      </w:r>
      <w:r w:rsidR="007C6582" w:rsidRPr="00B611F0">
        <w:t xml:space="preserve">(Roth IRAs); </w:t>
      </w:r>
      <w:r w:rsidR="00BA5395" w:rsidRPr="00B611F0">
        <w:t xml:space="preserve">and </w:t>
      </w:r>
    </w:p>
    <w:p w:rsidR="00BA5395" w:rsidRDefault="00B611F0" w:rsidP="00B611F0">
      <w:pPr>
        <w:pStyle w:val="PC"/>
        <w:rPr>
          <w:b/>
        </w:rPr>
      </w:pPr>
      <w:r w:rsidRPr="00B611F0">
        <w:t>(6)</w:t>
      </w:r>
      <w:r>
        <w:rPr>
          <w:b/>
        </w:rPr>
        <w:tab/>
      </w:r>
      <w:r w:rsidR="007C6582">
        <w:t xml:space="preserve">IRC Section </w:t>
      </w:r>
      <w:r w:rsidR="00BA5395">
        <w:t>457(b)</w:t>
      </w:r>
      <w:r w:rsidR="007C6582">
        <w:t xml:space="preserve"> (deferred compensation plans of state and local governments or tax-exempt organizations)</w:t>
      </w:r>
      <w:r w:rsidR="00BA5395">
        <w:t>.</w:t>
      </w:r>
    </w:p>
    <w:p w:rsidR="001C0CE3" w:rsidRPr="0071657D" w:rsidRDefault="00BA5395" w:rsidP="00D70248">
      <w:pPr>
        <w:pStyle w:val="PA"/>
        <w:rPr>
          <w:rFonts w:ascii="Perpetua" w:eastAsia="MS Mincho" w:hAnsi="Perpetua"/>
          <w:b/>
          <w:szCs w:val="24"/>
        </w:rPr>
      </w:pPr>
      <w:r>
        <w:t xml:space="preserve">Deemed distributions under IRC Section 72(p) </w:t>
      </w:r>
      <w:r w:rsidR="0088515D">
        <w:t xml:space="preserve">(loans from a qualified employer plan) </w:t>
      </w:r>
      <w:r>
        <w:t>are also excluded under this rule.</w:t>
      </w:r>
      <w:r w:rsidRPr="00EE7BE5">
        <w:rPr>
          <w:rStyle w:val="FootnoteReference"/>
          <w:color w:val="auto"/>
        </w:rPr>
        <w:footnoteReference w:id="2"/>
      </w:r>
      <w:r w:rsidR="00CC23E6">
        <w:t xml:space="preserve">  </w:t>
      </w:r>
      <w:r w:rsidR="0088515D">
        <w:t>Additionally, a</w:t>
      </w:r>
      <w:r>
        <w:t>mounts distributed from a qualified plan to purchase life insurance by the plan participant are not included in net investment income.</w:t>
      </w:r>
      <w:r w:rsidRPr="00EE7BE5">
        <w:rPr>
          <w:rStyle w:val="FootnoteReference"/>
          <w:color w:val="auto"/>
        </w:rPr>
        <w:footnoteReference w:id="3"/>
      </w:r>
      <w:r w:rsidR="001C0CE3" w:rsidRPr="0071657D">
        <w:rPr>
          <w:rFonts w:ascii="Perpetua" w:eastAsia="MS Mincho" w:hAnsi="Perpetua"/>
          <w:b/>
          <w:szCs w:val="24"/>
        </w:rPr>
        <w:t xml:space="preserve"> </w:t>
      </w:r>
    </w:p>
    <w:p w:rsidR="001C0CE3" w:rsidRPr="00D70248" w:rsidRDefault="00483498" w:rsidP="001C0CE3">
      <w:pPr>
        <w:pStyle w:val="PA"/>
        <w:rPr>
          <w:b/>
        </w:rPr>
      </w:pPr>
      <w:r>
        <w:rPr>
          <w:b/>
        </w:rPr>
        <w:t>8562</w:t>
      </w:r>
      <w:r w:rsidR="00E61E8C">
        <w:rPr>
          <w:b/>
        </w:rPr>
        <w:t>.02</w:t>
      </w:r>
      <w:r w:rsidR="001C0CE3" w:rsidRPr="001C0CE3">
        <w:rPr>
          <w:b/>
        </w:rPr>
        <w:t xml:space="preserve"> If a taxpayer converts a traditional IRA to a Roth IRA, does a taxable distribution take place that would subject the converted funds to the investment income tax?</w:t>
      </w:r>
    </w:p>
    <w:p w:rsidR="001C0CE3" w:rsidRPr="001C0CE3" w:rsidRDefault="0041628D" w:rsidP="00CC23E6">
      <w:pPr>
        <w:pStyle w:val="PA"/>
      </w:pPr>
      <w:r>
        <w:t>In addition to actual r</w:t>
      </w:r>
      <w:r w:rsidR="00E61E8C">
        <w:t>etirement plan distributions (See</w:t>
      </w:r>
      <w:bookmarkStart w:id="0" w:name="_GoBack"/>
      <w:bookmarkEnd w:id="0"/>
      <w:r w:rsidR="00483498">
        <w:t xml:space="preserve"> Q8562</w:t>
      </w:r>
      <w:r>
        <w:t xml:space="preserve">) </w:t>
      </w:r>
      <w:r w:rsidR="00483498">
        <w:t xml:space="preserve">that are excluded </w:t>
      </w:r>
      <w:r>
        <w:t xml:space="preserve">from net investment income, the final regulations also make </w:t>
      </w:r>
      <w:r w:rsidR="00CC23E6">
        <w:t xml:space="preserve">it </w:t>
      </w:r>
      <w:r>
        <w:t xml:space="preserve">clear that deemed distributions from retirement plans are also excluded. For example, a rollover of funds from a traditional IRA into a Roth IRA never actually received by the taxpayer is nonetheless treated as a distribution for income tax purposes.  </w:t>
      </w:r>
      <w:r w:rsidR="0088515D">
        <w:t xml:space="preserve">Similar to </w:t>
      </w:r>
      <w:r w:rsidR="00CC23E6">
        <w:t>actual retirement distributions, the IRA/Roth conversion deemed distribution is excluded from net investment income; and, thus, is not subject to the net investment income tax</w:t>
      </w:r>
      <w:r>
        <w:t>.</w:t>
      </w:r>
      <w:r w:rsidRPr="00EE7BE5">
        <w:rPr>
          <w:rStyle w:val="FootnoteReference"/>
          <w:color w:val="auto"/>
        </w:rPr>
        <w:footnoteReference w:id="4"/>
      </w:r>
      <w:r w:rsidR="00CC23E6">
        <w:t xml:space="preserve"> </w:t>
      </w:r>
    </w:p>
    <w:p w:rsidR="00437CBE" w:rsidRPr="00BA5395" w:rsidRDefault="00437CBE" w:rsidP="00B611F0">
      <w:pPr>
        <w:pStyle w:val="PA"/>
        <w:rPr>
          <w:b/>
        </w:rPr>
      </w:pPr>
    </w:p>
    <w:p w:rsidR="00B611F0" w:rsidRPr="00B611F0" w:rsidRDefault="00B611F0" w:rsidP="00B611F0"/>
    <w:sectPr w:rsidR="00B611F0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75" w:rsidRDefault="00082C75" w:rsidP="00536B05">
      <w:r>
        <w:separator/>
      </w:r>
    </w:p>
  </w:endnote>
  <w:endnote w:type="continuationSeparator" w:id="0">
    <w:p w:rsidR="00082C75" w:rsidRDefault="00082C75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Cambri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75" w:rsidRDefault="00082C75" w:rsidP="00536B05">
      <w:r>
        <w:separator/>
      </w:r>
    </w:p>
  </w:footnote>
  <w:footnote w:type="continuationSeparator" w:id="0">
    <w:p w:rsidR="00082C75" w:rsidRDefault="00082C75" w:rsidP="00536B05">
      <w:r>
        <w:continuationSeparator/>
      </w:r>
    </w:p>
  </w:footnote>
  <w:footnote w:id="1">
    <w:p w:rsidR="009B2364" w:rsidRPr="00B611F0" w:rsidRDefault="009B2364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>IRC Sec. 1411(c</w:t>
      </w:r>
      <w:proofErr w:type="gramStart"/>
      <w:r w:rsidR="00EE7BE5" w:rsidRPr="00B611F0">
        <w:t>)(</w:t>
      </w:r>
      <w:proofErr w:type="gramEnd"/>
      <w:r w:rsidR="00EE7BE5" w:rsidRPr="00B611F0">
        <w:t>5), Treas. Reg. 1.1411-8(a).</w:t>
      </w:r>
    </w:p>
  </w:footnote>
  <w:footnote w:id="2">
    <w:p w:rsidR="009B2364" w:rsidRPr="00B611F0" w:rsidRDefault="009B2364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 xml:space="preserve">Treas. Reg. </w:t>
      </w:r>
      <w:r w:rsidR="00EE7BE5" w:rsidRPr="007B0BC4">
        <w:t>§</w:t>
      </w:r>
      <w:r w:rsidR="00EE7BE5" w:rsidRPr="00B611F0">
        <w:t>1.1411-8(b</w:t>
      </w:r>
      <w:proofErr w:type="gramStart"/>
      <w:r w:rsidR="00EE7BE5" w:rsidRPr="00B611F0">
        <w:t>)(</w:t>
      </w:r>
      <w:proofErr w:type="gramEnd"/>
      <w:r w:rsidR="00EE7BE5" w:rsidRPr="00B611F0">
        <w:t>2).</w:t>
      </w:r>
    </w:p>
  </w:footnote>
  <w:footnote w:id="3">
    <w:p w:rsidR="009B2364" w:rsidRPr="00B611F0" w:rsidRDefault="009B2364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 xml:space="preserve">Treas. Reg. </w:t>
      </w:r>
      <w:r w:rsidR="00EE7BE5" w:rsidRPr="007B0BC4">
        <w:t>§</w:t>
      </w:r>
      <w:r w:rsidR="00EE7BE5" w:rsidRPr="00B611F0">
        <w:t>1.1411-8(b</w:t>
      </w:r>
      <w:proofErr w:type="gramStart"/>
      <w:r w:rsidR="00EE7BE5" w:rsidRPr="00B611F0">
        <w:t>)(</w:t>
      </w:r>
      <w:proofErr w:type="gramEnd"/>
      <w:r w:rsidR="00EE7BE5" w:rsidRPr="00B611F0">
        <w:t>3).</w:t>
      </w:r>
    </w:p>
  </w:footnote>
  <w:footnote w:id="4">
    <w:p w:rsidR="0041628D" w:rsidRPr="00B611F0" w:rsidRDefault="0041628D" w:rsidP="0041628D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 xml:space="preserve">Treas. Reg. </w:t>
      </w:r>
      <w:r w:rsidRPr="007B0BC4">
        <w:t>§</w:t>
      </w:r>
      <w:r w:rsidRPr="00B611F0">
        <w:t>1.1411-8(b</w:t>
      </w:r>
      <w:proofErr w:type="gramStart"/>
      <w:r w:rsidRPr="00B611F0">
        <w:t>)(</w:t>
      </w:r>
      <w:proofErr w:type="gramEnd"/>
      <w:r w:rsidRPr="00B611F0">
        <w:t>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B76D9"/>
    <w:multiLevelType w:val="hybridMultilevel"/>
    <w:tmpl w:val="45F2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7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200D7"/>
    <w:rsid w:val="00025E46"/>
    <w:rsid w:val="0003025A"/>
    <w:rsid w:val="00060618"/>
    <w:rsid w:val="00065361"/>
    <w:rsid w:val="00082C75"/>
    <w:rsid w:val="00094E50"/>
    <w:rsid w:val="000A37F8"/>
    <w:rsid w:val="000B4B5D"/>
    <w:rsid w:val="000C1C63"/>
    <w:rsid w:val="000D179D"/>
    <w:rsid w:val="000D7E02"/>
    <w:rsid w:val="00114A17"/>
    <w:rsid w:val="00114F7E"/>
    <w:rsid w:val="0011643A"/>
    <w:rsid w:val="00133EA9"/>
    <w:rsid w:val="00166A3D"/>
    <w:rsid w:val="001A5CC6"/>
    <w:rsid w:val="001B549D"/>
    <w:rsid w:val="001C0CE3"/>
    <w:rsid w:val="001C2D8B"/>
    <w:rsid w:val="001D533C"/>
    <w:rsid w:val="001E59F3"/>
    <w:rsid w:val="001F52F4"/>
    <w:rsid w:val="00236EBA"/>
    <w:rsid w:val="00257104"/>
    <w:rsid w:val="00267E98"/>
    <w:rsid w:val="00271A21"/>
    <w:rsid w:val="00282D04"/>
    <w:rsid w:val="0028552C"/>
    <w:rsid w:val="00293F22"/>
    <w:rsid w:val="00296983"/>
    <w:rsid w:val="002B3FE0"/>
    <w:rsid w:val="002C7FE6"/>
    <w:rsid w:val="00307615"/>
    <w:rsid w:val="003136E3"/>
    <w:rsid w:val="00317415"/>
    <w:rsid w:val="00365BC3"/>
    <w:rsid w:val="003F5AA4"/>
    <w:rsid w:val="0041628D"/>
    <w:rsid w:val="00421CD6"/>
    <w:rsid w:val="00424FBB"/>
    <w:rsid w:val="00437CBE"/>
    <w:rsid w:val="00446DD7"/>
    <w:rsid w:val="00455D1D"/>
    <w:rsid w:val="00483498"/>
    <w:rsid w:val="004A4C0D"/>
    <w:rsid w:val="004A7339"/>
    <w:rsid w:val="004B1350"/>
    <w:rsid w:val="004F1F2A"/>
    <w:rsid w:val="004F6C3F"/>
    <w:rsid w:val="00516BDA"/>
    <w:rsid w:val="00536354"/>
    <w:rsid w:val="00536B05"/>
    <w:rsid w:val="0055218C"/>
    <w:rsid w:val="0055609B"/>
    <w:rsid w:val="00563C36"/>
    <w:rsid w:val="0059765D"/>
    <w:rsid w:val="005C50ED"/>
    <w:rsid w:val="005F747A"/>
    <w:rsid w:val="005F7907"/>
    <w:rsid w:val="005F7C9B"/>
    <w:rsid w:val="00601514"/>
    <w:rsid w:val="006162B4"/>
    <w:rsid w:val="00623E77"/>
    <w:rsid w:val="00632254"/>
    <w:rsid w:val="006656BE"/>
    <w:rsid w:val="006A2941"/>
    <w:rsid w:val="006B29BA"/>
    <w:rsid w:val="006C0F99"/>
    <w:rsid w:val="006D0895"/>
    <w:rsid w:val="006F4200"/>
    <w:rsid w:val="006F4885"/>
    <w:rsid w:val="0071657D"/>
    <w:rsid w:val="00746177"/>
    <w:rsid w:val="00777AF6"/>
    <w:rsid w:val="007948D7"/>
    <w:rsid w:val="007B0BC4"/>
    <w:rsid w:val="007B43E0"/>
    <w:rsid w:val="007C1E0C"/>
    <w:rsid w:val="007C6582"/>
    <w:rsid w:val="007D73C8"/>
    <w:rsid w:val="007D7788"/>
    <w:rsid w:val="007F000B"/>
    <w:rsid w:val="00800E7E"/>
    <w:rsid w:val="00853ACB"/>
    <w:rsid w:val="00856358"/>
    <w:rsid w:val="00860061"/>
    <w:rsid w:val="0088515D"/>
    <w:rsid w:val="008B16D5"/>
    <w:rsid w:val="008B183A"/>
    <w:rsid w:val="00917D5C"/>
    <w:rsid w:val="0093676A"/>
    <w:rsid w:val="0094426D"/>
    <w:rsid w:val="00994A42"/>
    <w:rsid w:val="009B2364"/>
    <w:rsid w:val="009C5C1A"/>
    <w:rsid w:val="00A02913"/>
    <w:rsid w:val="00A02AF1"/>
    <w:rsid w:val="00A06D94"/>
    <w:rsid w:val="00A153DC"/>
    <w:rsid w:val="00A22ABD"/>
    <w:rsid w:val="00A43D8E"/>
    <w:rsid w:val="00A56136"/>
    <w:rsid w:val="00A804B9"/>
    <w:rsid w:val="00A922D5"/>
    <w:rsid w:val="00B611F0"/>
    <w:rsid w:val="00B952C4"/>
    <w:rsid w:val="00BA5395"/>
    <w:rsid w:val="00BD2494"/>
    <w:rsid w:val="00BD6637"/>
    <w:rsid w:val="00BE5482"/>
    <w:rsid w:val="00C00ED3"/>
    <w:rsid w:val="00C107DC"/>
    <w:rsid w:val="00C7171A"/>
    <w:rsid w:val="00C945AB"/>
    <w:rsid w:val="00CB5DE6"/>
    <w:rsid w:val="00CC23E6"/>
    <w:rsid w:val="00CE66E5"/>
    <w:rsid w:val="00D0255A"/>
    <w:rsid w:val="00D279A1"/>
    <w:rsid w:val="00D34A75"/>
    <w:rsid w:val="00D63101"/>
    <w:rsid w:val="00D655FB"/>
    <w:rsid w:val="00D70248"/>
    <w:rsid w:val="00D80DBD"/>
    <w:rsid w:val="00D81626"/>
    <w:rsid w:val="00D97308"/>
    <w:rsid w:val="00DB12C3"/>
    <w:rsid w:val="00DC6CCF"/>
    <w:rsid w:val="00DD2422"/>
    <w:rsid w:val="00DF18F4"/>
    <w:rsid w:val="00DF64F3"/>
    <w:rsid w:val="00E019D6"/>
    <w:rsid w:val="00E604DB"/>
    <w:rsid w:val="00E61E8C"/>
    <w:rsid w:val="00E64400"/>
    <w:rsid w:val="00E8050C"/>
    <w:rsid w:val="00E94F6A"/>
    <w:rsid w:val="00EA088C"/>
    <w:rsid w:val="00EB6A46"/>
    <w:rsid w:val="00EE7BE5"/>
    <w:rsid w:val="00EF384A"/>
    <w:rsid w:val="00F43D0A"/>
    <w:rsid w:val="00F5790C"/>
    <w:rsid w:val="00F77101"/>
    <w:rsid w:val="00F97395"/>
    <w:rsid w:val="00FA0B04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63225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3225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3225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3225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63225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632254"/>
    <w:rPr>
      <w:vertAlign w:val="superscript"/>
    </w:rPr>
  </w:style>
  <w:style w:type="paragraph" w:customStyle="1" w:styleId="PA">
    <w:name w:val="PA"/>
    <w:next w:val="Normal"/>
    <w:link w:val="PAChar"/>
    <w:rsid w:val="0063225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632254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322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6322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632254"/>
    <w:pPr>
      <w:spacing w:before="144"/>
      <w:jc w:val="both"/>
    </w:pPr>
    <w:rPr>
      <w:noProof/>
    </w:rPr>
  </w:style>
  <w:style w:type="paragraph" w:customStyle="1" w:styleId="PB">
    <w:name w:val="PB"/>
    <w:rsid w:val="0063225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3225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63225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3225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3225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3225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3225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3225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3225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3225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3225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3225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3225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63225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32254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63225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63225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32254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63225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63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63225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3225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63225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3225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3225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3225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3225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32254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32254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32254"/>
    <w:rPr>
      <w:rFonts w:ascii="Perpetua Std" w:hAnsi="Perpetua Std"/>
    </w:rPr>
  </w:style>
  <w:style w:type="paragraph" w:styleId="NoSpacing">
    <w:name w:val="No Spacing"/>
    <w:qFormat/>
    <w:rsid w:val="00632254"/>
    <w:rPr>
      <w:rFonts w:ascii="Perpetua" w:hAnsi="Perpetua"/>
    </w:rPr>
  </w:style>
  <w:style w:type="paragraph" w:customStyle="1" w:styleId="PCA">
    <w:name w:val="PCA"/>
    <w:rsid w:val="00632254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32254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32254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63225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3225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3225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3225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63225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632254"/>
    <w:rPr>
      <w:vertAlign w:val="superscript"/>
    </w:rPr>
  </w:style>
  <w:style w:type="paragraph" w:customStyle="1" w:styleId="PA">
    <w:name w:val="PA"/>
    <w:next w:val="Normal"/>
    <w:link w:val="PAChar"/>
    <w:rsid w:val="0063225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632254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322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6322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632254"/>
    <w:pPr>
      <w:spacing w:before="144"/>
      <w:jc w:val="both"/>
    </w:pPr>
    <w:rPr>
      <w:noProof/>
    </w:rPr>
  </w:style>
  <w:style w:type="paragraph" w:customStyle="1" w:styleId="PB">
    <w:name w:val="PB"/>
    <w:rsid w:val="0063225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3225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63225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3225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3225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3225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3225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3225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3225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3225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3225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3225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3225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63225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32254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63225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63225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32254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63225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63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63225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3225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63225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3225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3225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3225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3225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32254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32254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32254"/>
    <w:rPr>
      <w:rFonts w:ascii="Perpetua Std" w:hAnsi="Perpetua Std"/>
    </w:rPr>
  </w:style>
  <w:style w:type="paragraph" w:styleId="NoSpacing">
    <w:name w:val="No Spacing"/>
    <w:qFormat/>
    <w:rsid w:val="00632254"/>
    <w:rPr>
      <w:rFonts w:ascii="Perpetua" w:hAnsi="Perpetua"/>
    </w:rPr>
  </w:style>
  <w:style w:type="paragraph" w:customStyle="1" w:styleId="PCA">
    <w:name w:val="PCA"/>
    <w:rsid w:val="00632254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32254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32254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8563. How are distributions from retirement accounts and qualified plans treated for purposes of the investment income tax?</vt:lpstr>
    </vt:vector>
  </TitlesOfParts>
  <Company>Summit Business Media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8563. How are distributions from retirement accounts and qualified plans treated for purposes of the investment income tax?</dc:title>
  <dc:creator>Alexis Long</dc:creator>
  <cp:lastModifiedBy>rcline</cp:lastModifiedBy>
  <cp:revision>2</cp:revision>
  <dcterms:created xsi:type="dcterms:W3CDTF">2014-07-08T19:45:00Z</dcterms:created>
  <dcterms:modified xsi:type="dcterms:W3CDTF">2014-07-08T19:45:00Z</dcterms:modified>
</cp:coreProperties>
</file>