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C5" w:rsidRPr="003A35C5" w:rsidRDefault="003A35C5" w:rsidP="00B611F0">
      <w:pPr>
        <w:pStyle w:val="PA"/>
        <w:rPr>
          <w:b/>
        </w:rPr>
      </w:pPr>
      <w:r w:rsidRPr="003A35C5">
        <w:rPr>
          <w:b/>
        </w:rPr>
        <w:t>8561. Who is liable for paying the investment tax?</w:t>
      </w:r>
    </w:p>
    <w:p w:rsidR="00D655FB" w:rsidRDefault="008E3C80" w:rsidP="00B611F0">
      <w:pPr>
        <w:pStyle w:val="PA"/>
      </w:pPr>
      <w:r>
        <w:t>Any taxpayer who has net investment income and modified adjusted gross income (MAGI) in excess of the applicable threshold amount is subject to the 3.8% n</w:t>
      </w:r>
      <w:r w:rsidR="00845900">
        <w:t>et investment income tax</w:t>
      </w:r>
      <w:r>
        <w:t xml:space="preserve">.  The applicable thresholds are </w:t>
      </w:r>
      <w:r w:rsidR="00C14809">
        <w:t>M</w:t>
      </w:r>
      <w:r w:rsidR="00D34A75" w:rsidRPr="00D34A75">
        <w:t>AGI</w:t>
      </w:r>
      <w:r>
        <w:t xml:space="preserve"> </w:t>
      </w:r>
      <w:r w:rsidR="00845900">
        <w:t xml:space="preserve">in excess of </w:t>
      </w:r>
      <w:r w:rsidR="00D34A75" w:rsidRPr="00D34A75">
        <w:t xml:space="preserve">$200,000 for single </w:t>
      </w:r>
      <w:r>
        <w:t>taxpayers</w:t>
      </w:r>
      <w:r w:rsidR="00365BC3">
        <w:t>, $125,000 for married taxpayers filing</w:t>
      </w:r>
      <w:r>
        <w:t xml:space="preserve"> separately and </w:t>
      </w:r>
      <w:r w:rsidR="00D34A75" w:rsidRPr="00D34A75">
        <w:t>$250,000 for married co</w:t>
      </w:r>
      <w:r w:rsidR="00D655FB">
        <w:t>uples filing jointly.</w:t>
      </w:r>
      <w:r w:rsidR="00A02913">
        <w:t xml:space="preserve"> </w:t>
      </w:r>
      <w:r w:rsidR="00D655FB">
        <w:t xml:space="preserve">Unlike many other </w:t>
      </w:r>
      <w:r w:rsidR="00C0476A">
        <w:t xml:space="preserve">income </w:t>
      </w:r>
      <w:bookmarkStart w:id="0" w:name="_GoBack"/>
      <w:bookmarkEnd w:id="0"/>
      <w:r w:rsidR="00D655FB">
        <w:t>threshold amounts, these thresholds are not indexed annually for inflation.</w:t>
      </w:r>
      <w:r w:rsidR="00D655FB" w:rsidRPr="00EE7BE5">
        <w:rPr>
          <w:rStyle w:val="FootnoteReference"/>
          <w:color w:val="auto"/>
        </w:rPr>
        <w:footnoteReference w:id="1"/>
      </w:r>
    </w:p>
    <w:p w:rsidR="008E3C80" w:rsidRDefault="008E3C80" w:rsidP="008E3C80">
      <w:pPr>
        <w:pStyle w:val="PA"/>
      </w:pPr>
      <w:r>
        <w:t>In addition to individuals, the net investment income tax applies to certai</w:t>
      </w:r>
      <w:r w:rsidR="00290343">
        <w:t>n trusts and estates (see Q 8569</w:t>
      </w:r>
      <w:r>
        <w:t>).</w:t>
      </w:r>
      <w:r w:rsidRPr="00EE7BE5">
        <w:rPr>
          <w:rStyle w:val="FootnoteReference"/>
          <w:color w:val="auto"/>
        </w:rPr>
        <w:footnoteReference w:id="2"/>
      </w:r>
      <w:r>
        <w:t xml:space="preserve"> Nonresident aliens are not subject to the tax.</w:t>
      </w:r>
      <w:r w:rsidRPr="00EE7BE5">
        <w:rPr>
          <w:rStyle w:val="FootnoteReference"/>
          <w:color w:val="auto"/>
        </w:rPr>
        <w:footnoteReference w:id="3"/>
      </w:r>
    </w:p>
    <w:p w:rsidR="005575F6" w:rsidRDefault="00CD4A2E" w:rsidP="005575F6">
      <w:pPr>
        <w:pStyle w:val="PA"/>
      </w:pPr>
      <w:r>
        <w:t>.</w:t>
      </w:r>
    </w:p>
    <w:p w:rsidR="0043314E" w:rsidRDefault="00CD4A2E" w:rsidP="005575F6">
      <w:pPr>
        <w:pStyle w:val="PA"/>
      </w:pPr>
      <w:r>
        <w:rPr>
          <w:szCs w:val="24"/>
        </w:rPr>
        <w:br/>
      </w:r>
      <w:r w:rsidR="00A02913">
        <w:t xml:space="preserve"> </w:t>
      </w:r>
    </w:p>
    <w:p w:rsidR="00536B05" w:rsidRPr="005C50ED" w:rsidRDefault="00536B05" w:rsidP="00B611F0">
      <w:pPr>
        <w:pStyle w:val="PA"/>
        <w:rPr>
          <w:b/>
        </w:rPr>
      </w:pPr>
    </w:p>
    <w:p w:rsidR="00B611F0" w:rsidRPr="00B611F0" w:rsidRDefault="00B611F0" w:rsidP="00B611F0"/>
    <w:sectPr w:rsidR="00B611F0" w:rsidRPr="00B611F0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E0" w:rsidRDefault="00B465E0" w:rsidP="00536B05">
      <w:r>
        <w:separator/>
      </w:r>
    </w:p>
  </w:endnote>
  <w:endnote w:type="continuationSeparator" w:id="0">
    <w:p w:rsidR="00B465E0" w:rsidRDefault="00B465E0" w:rsidP="0053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Cambria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E0" w:rsidRDefault="00B465E0" w:rsidP="00536B05">
      <w:r>
        <w:separator/>
      </w:r>
    </w:p>
  </w:footnote>
  <w:footnote w:type="continuationSeparator" w:id="0">
    <w:p w:rsidR="00B465E0" w:rsidRDefault="00B465E0" w:rsidP="00536B05">
      <w:r>
        <w:continuationSeparator/>
      </w:r>
    </w:p>
  </w:footnote>
  <w:footnote w:id="1">
    <w:p w:rsidR="009B2364" w:rsidRPr="00B611F0" w:rsidRDefault="009B2364" w:rsidP="00EE7BE5">
      <w:pPr>
        <w:pStyle w:val="PQ"/>
      </w:pPr>
      <w:r w:rsidRPr="00B611F0">
        <w:rPr>
          <w:rStyle w:val="FootnoteReference"/>
          <w:vertAlign w:val="baseline"/>
        </w:rPr>
        <w:footnoteRef/>
      </w:r>
      <w:r w:rsidR="001D533C">
        <w:t>.</w:t>
      </w:r>
      <w:r w:rsidR="001D533C">
        <w:tab/>
      </w:r>
      <w:r w:rsidR="00EE7BE5" w:rsidRPr="00B611F0">
        <w:t>See Preamble to notice of proposed rulemaking, REG-130507-11, 77 Fed. Reg. 72611, 72615.</w:t>
      </w:r>
    </w:p>
  </w:footnote>
  <w:footnote w:id="2">
    <w:p w:rsidR="008E3C80" w:rsidRPr="00B611F0" w:rsidRDefault="008E3C80" w:rsidP="008E3C80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 xml:space="preserve">IRC Sec. </w:t>
      </w:r>
      <w:proofErr w:type="gramStart"/>
      <w:r w:rsidRPr="00B611F0">
        <w:t>1411(a</w:t>
      </w:r>
      <w:proofErr w:type="gramEnd"/>
      <w:r w:rsidRPr="00B611F0">
        <w:t>).</w:t>
      </w:r>
    </w:p>
  </w:footnote>
  <w:footnote w:id="3">
    <w:p w:rsidR="008E3C80" w:rsidRPr="00B611F0" w:rsidRDefault="008E3C80" w:rsidP="008E3C80">
      <w:pPr>
        <w:pStyle w:val="PQ"/>
      </w:pPr>
      <w:r w:rsidRPr="00B611F0">
        <w:rPr>
          <w:rStyle w:val="FootnoteReference"/>
          <w:vertAlign w:val="baseline"/>
        </w:rPr>
        <w:footnoteRef/>
      </w:r>
      <w:r>
        <w:t>.</w:t>
      </w:r>
      <w:r>
        <w:tab/>
      </w:r>
      <w:r w:rsidRPr="00B611F0">
        <w:t xml:space="preserve">IRC Sec. </w:t>
      </w:r>
      <w:proofErr w:type="gramStart"/>
      <w:r w:rsidRPr="00B611F0">
        <w:t>1411(e</w:t>
      </w:r>
      <w:proofErr w:type="gramEnd"/>
      <w:r w:rsidRPr="00B611F0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42CE"/>
    <w:multiLevelType w:val="hybridMultilevel"/>
    <w:tmpl w:val="BF06F940"/>
    <w:lvl w:ilvl="0" w:tplc="60ECB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B76D9"/>
    <w:multiLevelType w:val="hybridMultilevel"/>
    <w:tmpl w:val="45F2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CC4"/>
    <w:multiLevelType w:val="hybridMultilevel"/>
    <w:tmpl w:val="B5FE802C"/>
    <w:lvl w:ilvl="0" w:tplc="1D1875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>
    <w:nsid w:val="3BC110BE"/>
    <w:multiLevelType w:val="hybridMultilevel"/>
    <w:tmpl w:val="9AE02338"/>
    <w:lvl w:ilvl="0" w:tplc="A9B40ADA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084466"/>
    <w:multiLevelType w:val="hybridMultilevel"/>
    <w:tmpl w:val="20E2C94C"/>
    <w:lvl w:ilvl="0" w:tplc="1C4AC2D0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97F1EEF"/>
    <w:multiLevelType w:val="hybridMultilevel"/>
    <w:tmpl w:val="AE080146"/>
    <w:lvl w:ilvl="0" w:tplc="D3725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592209"/>
    <w:multiLevelType w:val="hybridMultilevel"/>
    <w:tmpl w:val="601CAE42"/>
    <w:lvl w:ilvl="0" w:tplc="E9261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7"/>
  </w:num>
  <w:num w:numId="10">
    <w:abstractNumId w:val="17"/>
  </w:num>
  <w:num w:numId="11">
    <w:abstractNumId w:val="6"/>
  </w:num>
  <w:num w:numId="12">
    <w:abstractNumId w:val="11"/>
  </w:num>
  <w:num w:numId="13">
    <w:abstractNumId w:val="1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ED"/>
    <w:rsid w:val="00025E46"/>
    <w:rsid w:val="0003025A"/>
    <w:rsid w:val="00060618"/>
    <w:rsid w:val="00065361"/>
    <w:rsid w:val="00094E50"/>
    <w:rsid w:val="000A37F8"/>
    <w:rsid w:val="000C1C63"/>
    <w:rsid w:val="000D179D"/>
    <w:rsid w:val="000D7E02"/>
    <w:rsid w:val="00114A17"/>
    <w:rsid w:val="00114F7E"/>
    <w:rsid w:val="0011643A"/>
    <w:rsid w:val="00133EA9"/>
    <w:rsid w:val="00166A3D"/>
    <w:rsid w:val="001A5CC6"/>
    <w:rsid w:val="001B1026"/>
    <w:rsid w:val="001C2D8B"/>
    <w:rsid w:val="001D533C"/>
    <w:rsid w:val="001E59F3"/>
    <w:rsid w:val="001F507C"/>
    <w:rsid w:val="001F52F4"/>
    <w:rsid w:val="0022248F"/>
    <w:rsid w:val="00236EBA"/>
    <w:rsid w:val="00257104"/>
    <w:rsid w:val="00267E98"/>
    <w:rsid w:val="00271A21"/>
    <w:rsid w:val="00280EA2"/>
    <w:rsid w:val="00282D04"/>
    <w:rsid w:val="0028552C"/>
    <w:rsid w:val="00290343"/>
    <w:rsid w:val="00296983"/>
    <w:rsid w:val="002B3FE0"/>
    <w:rsid w:val="002C7CBD"/>
    <w:rsid w:val="002C7FE6"/>
    <w:rsid w:val="00307615"/>
    <w:rsid w:val="003136E3"/>
    <w:rsid w:val="00317415"/>
    <w:rsid w:val="00365BC3"/>
    <w:rsid w:val="00372599"/>
    <w:rsid w:val="00376A1B"/>
    <w:rsid w:val="003A28C6"/>
    <w:rsid w:val="003A35C5"/>
    <w:rsid w:val="003F5AA4"/>
    <w:rsid w:val="003F7F80"/>
    <w:rsid w:val="004052A3"/>
    <w:rsid w:val="00424FBB"/>
    <w:rsid w:val="0043314E"/>
    <w:rsid w:val="00437CBE"/>
    <w:rsid w:val="00455D1D"/>
    <w:rsid w:val="004971B1"/>
    <w:rsid w:val="004A4C0D"/>
    <w:rsid w:val="004A7339"/>
    <w:rsid w:val="004B1350"/>
    <w:rsid w:val="004C5DFA"/>
    <w:rsid w:val="004F1F2A"/>
    <w:rsid w:val="004F6C3F"/>
    <w:rsid w:val="00516BDA"/>
    <w:rsid w:val="00536354"/>
    <w:rsid w:val="00536B05"/>
    <w:rsid w:val="005447BE"/>
    <w:rsid w:val="0055218C"/>
    <w:rsid w:val="0055609B"/>
    <w:rsid w:val="005575F6"/>
    <w:rsid w:val="0059765D"/>
    <w:rsid w:val="005C50ED"/>
    <w:rsid w:val="005F747A"/>
    <w:rsid w:val="005F7C9B"/>
    <w:rsid w:val="00623E77"/>
    <w:rsid w:val="00693E87"/>
    <w:rsid w:val="006A2941"/>
    <w:rsid w:val="006B29BA"/>
    <w:rsid w:val="006C0FAD"/>
    <w:rsid w:val="006F4200"/>
    <w:rsid w:val="006F4885"/>
    <w:rsid w:val="00723A0F"/>
    <w:rsid w:val="00732D2B"/>
    <w:rsid w:val="00746177"/>
    <w:rsid w:val="00777AF6"/>
    <w:rsid w:val="007948D7"/>
    <w:rsid w:val="007B0BC4"/>
    <w:rsid w:val="007C1E0C"/>
    <w:rsid w:val="007C6582"/>
    <w:rsid w:val="007D73C8"/>
    <w:rsid w:val="007D7788"/>
    <w:rsid w:val="007F000B"/>
    <w:rsid w:val="00845900"/>
    <w:rsid w:val="00853ACB"/>
    <w:rsid w:val="00856358"/>
    <w:rsid w:val="008B16D5"/>
    <w:rsid w:val="008B183A"/>
    <w:rsid w:val="008E3C80"/>
    <w:rsid w:val="00917D5C"/>
    <w:rsid w:val="0093676A"/>
    <w:rsid w:val="00955D44"/>
    <w:rsid w:val="00994A42"/>
    <w:rsid w:val="009B2364"/>
    <w:rsid w:val="009C60BC"/>
    <w:rsid w:val="009D0941"/>
    <w:rsid w:val="00A02913"/>
    <w:rsid w:val="00A02AF1"/>
    <w:rsid w:val="00A06D94"/>
    <w:rsid w:val="00A153DC"/>
    <w:rsid w:val="00A22ABD"/>
    <w:rsid w:val="00A43D8E"/>
    <w:rsid w:val="00A56136"/>
    <w:rsid w:val="00A804B9"/>
    <w:rsid w:val="00A922D5"/>
    <w:rsid w:val="00AE21D6"/>
    <w:rsid w:val="00B465E0"/>
    <w:rsid w:val="00B611F0"/>
    <w:rsid w:val="00B72E9B"/>
    <w:rsid w:val="00B93C1D"/>
    <w:rsid w:val="00B952C4"/>
    <w:rsid w:val="00BA5395"/>
    <w:rsid w:val="00BE5482"/>
    <w:rsid w:val="00C00ED3"/>
    <w:rsid w:val="00C0476A"/>
    <w:rsid w:val="00C107DC"/>
    <w:rsid w:val="00C14809"/>
    <w:rsid w:val="00C66495"/>
    <w:rsid w:val="00C7171A"/>
    <w:rsid w:val="00C945AB"/>
    <w:rsid w:val="00CB5DE6"/>
    <w:rsid w:val="00CD4A2E"/>
    <w:rsid w:val="00D0255A"/>
    <w:rsid w:val="00D279A1"/>
    <w:rsid w:val="00D34A75"/>
    <w:rsid w:val="00D60D4D"/>
    <w:rsid w:val="00D63101"/>
    <w:rsid w:val="00D655FB"/>
    <w:rsid w:val="00D81626"/>
    <w:rsid w:val="00D83A25"/>
    <w:rsid w:val="00D97308"/>
    <w:rsid w:val="00DD2422"/>
    <w:rsid w:val="00DF18F4"/>
    <w:rsid w:val="00E019D6"/>
    <w:rsid w:val="00E604DB"/>
    <w:rsid w:val="00E64400"/>
    <w:rsid w:val="00E8050C"/>
    <w:rsid w:val="00E94F6A"/>
    <w:rsid w:val="00EA088C"/>
    <w:rsid w:val="00EE7BE5"/>
    <w:rsid w:val="00EF384A"/>
    <w:rsid w:val="00F43D0A"/>
    <w:rsid w:val="00F5790C"/>
    <w:rsid w:val="00F86AC8"/>
    <w:rsid w:val="00F97395"/>
    <w:rsid w:val="00FA794F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6C0FAD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C0F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C0F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C0FA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6C0FAD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6C0FAD"/>
    <w:rPr>
      <w:vertAlign w:val="superscript"/>
    </w:rPr>
  </w:style>
  <w:style w:type="paragraph" w:customStyle="1" w:styleId="PA">
    <w:name w:val="PA"/>
    <w:next w:val="Normal"/>
    <w:link w:val="PAChar"/>
    <w:rsid w:val="006C0FAD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6C0FAD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C0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6C0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6C0FAD"/>
    <w:pPr>
      <w:spacing w:before="144"/>
      <w:jc w:val="both"/>
    </w:pPr>
    <w:rPr>
      <w:noProof/>
    </w:rPr>
  </w:style>
  <w:style w:type="paragraph" w:customStyle="1" w:styleId="PB">
    <w:name w:val="PB"/>
    <w:rsid w:val="006C0FAD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C0FAD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6C0FAD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C0FAD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C0FAD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C0FAD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C0FAD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C0FAD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C0FAD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C0FA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C0FAD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C0FAD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C0FAD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6C0FAD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C0FAD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6C0FAD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6C0FAD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C0FAD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6C0FAD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6C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6C0FAD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C0FAD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6C0FAD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C0FAD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C0FAD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C0FAD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C0FAD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C0FAD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C0FAD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C0FAD"/>
    <w:rPr>
      <w:rFonts w:ascii="Perpetua Std" w:hAnsi="Perpetua Std"/>
    </w:rPr>
  </w:style>
  <w:style w:type="paragraph" w:styleId="NoSpacing">
    <w:name w:val="No Spacing"/>
    <w:qFormat/>
    <w:rsid w:val="006C0FAD"/>
    <w:rPr>
      <w:rFonts w:ascii="Perpetua" w:hAnsi="Perpetua"/>
    </w:rPr>
  </w:style>
  <w:style w:type="paragraph" w:customStyle="1" w:styleId="PCA">
    <w:name w:val="PCA"/>
    <w:rsid w:val="006C0FAD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C0FAD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C0FAD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6C0FAD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C0FA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C0F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C0FA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6C0FAD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styleId="FootnoteText">
    <w:name w:val="footnote text"/>
    <w:basedOn w:val="Normal"/>
    <w:link w:val="FootnoteTextChar"/>
    <w:rsid w:val="00536B05"/>
  </w:style>
  <w:style w:type="character" w:customStyle="1" w:styleId="FootnoteTextChar">
    <w:name w:val="Footnote Text Char"/>
    <w:link w:val="FootnoteText"/>
    <w:rsid w:val="00536B05"/>
    <w:rPr>
      <w:sz w:val="20"/>
      <w:szCs w:val="20"/>
    </w:rPr>
  </w:style>
  <w:style w:type="character" w:styleId="FootnoteReference">
    <w:name w:val="footnote reference"/>
    <w:rsid w:val="006C0FAD"/>
    <w:rPr>
      <w:vertAlign w:val="superscript"/>
    </w:rPr>
  </w:style>
  <w:style w:type="paragraph" w:customStyle="1" w:styleId="PA">
    <w:name w:val="PA"/>
    <w:next w:val="Normal"/>
    <w:link w:val="PAChar"/>
    <w:rsid w:val="006C0FAD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6C0FAD"/>
    <w:rPr>
      <w:rFonts w:ascii="Perpetua Std" w:hAnsi="Perpetua Std"/>
      <w:color w:val="000000"/>
      <w:sz w:val="24"/>
    </w:rPr>
  </w:style>
  <w:style w:type="character" w:styleId="Hyperlink">
    <w:name w:val="Hyperlink"/>
    <w:rsid w:val="00A804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1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1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C0F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11F0"/>
    <w:rPr>
      <w:rFonts w:ascii="Perpetua Std" w:hAnsi="Perpetua Std"/>
    </w:rPr>
  </w:style>
  <w:style w:type="paragraph" w:styleId="Header">
    <w:name w:val="header"/>
    <w:basedOn w:val="Normal"/>
    <w:link w:val="HeaderChar"/>
    <w:rsid w:val="006C0F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11F0"/>
    <w:rPr>
      <w:rFonts w:ascii="Perpetua Std" w:hAnsi="Perpetua Std"/>
    </w:rPr>
  </w:style>
  <w:style w:type="paragraph" w:customStyle="1" w:styleId="Standard">
    <w:name w:val="Standard"/>
    <w:rsid w:val="006C0FAD"/>
    <w:pPr>
      <w:spacing w:before="144"/>
      <w:jc w:val="both"/>
    </w:pPr>
    <w:rPr>
      <w:noProof/>
    </w:rPr>
  </w:style>
  <w:style w:type="paragraph" w:customStyle="1" w:styleId="PB">
    <w:name w:val="PB"/>
    <w:rsid w:val="006C0FAD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C0FAD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D">
    <w:name w:val="PD"/>
    <w:rsid w:val="006C0FAD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C0FAD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C0FAD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C0FAD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C0FAD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C0FAD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C0FAD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C0FAD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C0FAD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C0FAD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C0FAD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Q">
    <w:name w:val="PQ"/>
    <w:link w:val="PQChar"/>
    <w:rsid w:val="006C0FAD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C0FAD"/>
    <w:rPr>
      <w:rFonts w:ascii="Adobe Caslon Pro" w:hAnsi="Adobe Caslon Pro"/>
      <w:color w:val="000000"/>
      <w:sz w:val="14"/>
    </w:rPr>
  </w:style>
  <w:style w:type="paragraph" w:customStyle="1" w:styleId="HD">
    <w:name w:val="HD"/>
    <w:rsid w:val="006C0FAD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P">
    <w:name w:val="PP"/>
    <w:rsid w:val="006C0FAD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C0FAD"/>
    <w:pPr>
      <w:spacing w:before="120" w:after="120"/>
      <w:jc w:val="center"/>
    </w:pPr>
    <w:rPr>
      <w:rFonts w:ascii="Helvetica LT Std" w:hAnsi="Helvetica LT Std"/>
      <w:sz w:val="24"/>
    </w:rPr>
  </w:style>
  <w:style w:type="paragraph" w:customStyle="1" w:styleId="PN">
    <w:name w:val="PN"/>
    <w:rsid w:val="006C0FAD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table" w:styleId="TableGrid">
    <w:name w:val="Table Grid"/>
    <w:basedOn w:val="TableNormal"/>
    <w:rsid w:val="006C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6C0FAD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C0FAD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6C0FAD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C0FAD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C0FAD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C0FAD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C0FAD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C0FAD"/>
    <w:pPr>
      <w:numPr>
        <w:numId w:val="13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C0FAD"/>
    <w:pPr>
      <w:numPr>
        <w:numId w:val="15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C0FAD"/>
    <w:rPr>
      <w:rFonts w:ascii="Perpetua Std" w:hAnsi="Perpetua Std"/>
    </w:rPr>
  </w:style>
  <w:style w:type="paragraph" w:styleId="NoSpacing">
    <w:name w:val="No Spacing"/>
    <w:qFormat/>
    <w:rsid w:val="006C0FAD"/>
    <w:rPr>
      <w:rFonts w:ascii="Perpetua" w:hAnsi="Perpetua"/>
    </w:rPr>
  </w:style>
  <w:style w:type="paragraph" w:customStyle="1" w:styleId="PCA">
    <w:name w:val="PCA"/>
    <w:rsid w:val="006C0FAD"/>
    <w:pPr>
      <w:numPr>
        <w:numId w:val="16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C0FAD"/>
    <w:pPr>
      <w:numPr>
        <w:numId w:val="17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C0FAD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8561. Who is liable for paying the investment income tax?</vt:lpstr>
    </vt:vector>
  </TitlesOfParts>
  <Company>Summit Business Media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8561. Who is liable for paying the investment income tax?</dc:title>
  <dc:creator>Alexis Long</dc:creator>
  <cp:lastModifiedBy>rcline</cp:lastModifiedBy>
  <cp:revision>2</cp:revision>
  <dcterms:created xsi:type="dcterms:W3CDTF">2014-07-08T19:43:00Z</dcterms:created>
  <dcterms:modified xsi:type="dcterms:W3CDTF">2014-07-08T19:43:00Z</dcterms:modified>
</cp:coreProperties>
</file>