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912" w:rsidRPr="00716912" w:rsidRDefault="00716912" w:rsidP="00716912">
      <w:pPr>
        <w:pStyle w:val="PA"/>
        <w:rPr>
          <w:b/>
        </w:rPr>
      </w:pPr>
      <w:r w:rsidRPr="00716912">
        <w:rPr>
          <w:b/>
        </w:rPr>
        <w:t xml:space="preserve">8559. What is the </w:t>
      </w:r>
      <w:r w:rsidR="00AC3DC2">
        <w:rPr>
          <w:b/>
        </w:rPr>
        <w:t xml:space="preserve">net </w:t>
      </w:r>
      <w:r w:rsidRPr="00716912">
        <w:rPr>
          <w:b/>
        </w:rPr>
        <w:t>investment income tax?</w:t>
      </w:r>
    </w:p>
    <w:p w:rsidR="002C7FE6" w:rsidRDefault="002C7FE6" w:rsidP="00B611F0">
      <w:pPr>
        <w:pStyle w:val="PA"/>
        <w:rPr>
          <w:b/>
        </w:rPr>
      </w:pPr>
      <w:r>
        <w:t xml:space="preserve">The investment income tax </w:t>
      </w:r>
      <w:r w:rsidR="00B516BB">
        <w:t xml:space="preserve">is surtax of 3.8% in addition to the regular </w:t>
      </w:r>
      <w:r w:rsidR="004B74F6">
        <w:t xml:space="preserve">income </w:t>
      </w:r>
      <w:r w:rsidR="00B516BB">
        <w:t>tax that certain high income taxpayers would otherwise owe on such income.   The tax is imp</w:t>
      </w:r>
      <w:r w:rsidR="001E59F3">
        <w:t xml:space="preserve">osed </w:t>
      </w:r>
      <w:r>
        <w:t xml:space="preserve">on the </w:t>
      </w:r>
      <w:r w:rsidRPr="002C7FE6">
        <w:rPr>
          <w:i/>
        </w:rPr>
        <w:t>lesser</w:t>
      </w:r>
      <w:r>
        <w:t xml:space="preserve"> of the following amounts:</w:t>
      </w:r>
    </w:p>
    <w:p w:rsidR="002C7FE6" w:rsidRDefault="00B611F0" w:rsidP="00B611F0">
      <w:pPr>
        <w:pStyle w:val="PC"/>
        <w:rPr>
          <w:b/>
        </w:rPr>
      </w:pPr>
      <w:r w:rsidRPr="00B611F0">
        <w:t>(1)</w:t>
      </w:r>
      <w:r w:rsidRPr="00B611F0">
        <w:tab/>
      </w:r>
      <w:r w:rsidR="002C7FE6">
        <w:t xml:space="preserve">Net investment income (see </w:t>
      </w:r>
      <w:r w:rsidR="00C945AB">
        <w:t>Q 85</w:t>
      </w:r>
      <w:r w:rsidR="002C7FE6">
        <w:t xml:space="preserve">60 for an explanation of what amounts are included in net investment income); or </w:t>
      </w:r>
    </w:p>
    <w:p w:rsidR="002C7FE6" w:rsidRDefault="00B611F0" w:rsidP="00B611F0">
      <w:pPr>
        <w:pStyle w:val="PC"/>
        <w:rPr>
          <w:b/>
        </w:rPr>
      </w:pPr>
      <w:r w:rsidRPr="00B611F0">
        <w:t>(2)</w:t>
      </w:r>
      <w:r w:rsidRPr="00B611F0">
        <w:tab/>
      </w:r>
      <w:r w:rsidR="002C7FE6">
        <w:t xml:space="preserve">The excess (if any) of (i) the taxpayer’s </w:t>
      </w:r>
      <w:r w:rsidR="00EB058B">
        <w:t xml:space="preserve">modified </w:t>
      </w:r>
      <w:r w:rsidR="002C7FE6">
        <w:t>adjusted gross income (</w:t>
      </w:r>
      <w:r w:rsidR="00EB058B">
        <w:t>M</w:t>
      </w:r>
      <w:r w:rsidR="002C7FE6">
        <w:t>AGI)</w:t>
      </w:r>
      <w:r w:rsidR="00AC3DC2">
        <w:t xml:space="preserve"> (as explained in Q</w:t>
      </w:r>
      <w:r w:rsidR="00B516BB">
        <w:t xml:space="preserve"> 85</w:t>
      </w:r>
      <w:r w:rsidR="00FF6100">
        <w:t>59.02, below</w:t>
      </w:r>
      <w:r w:rsidR="00AC3DC2">
        <w:t>, for most taxpayers MAGI is actually AGI)</w:t>
      </w:r>
      <w:r w:rsidR="002C7FE6">
        <w:t xml:space="preserve"> for the year over (ii) the applicable threshold amount.</w:t>
      </w:r>
      <w:r w:rsidR="002C7FE6" w:rsidRPr="00EE7BE5">
        <w:rPr>
          <w:rStyle w:val="FootnoteReference"/>
          <w:color w:val="auto"/>
        </w:rPr>
        <w:footnoteReference w:id="1"/>
      </w:r>
    </w:p>
    <w:p w:rsidR="002C7FE6" w:rsidRPr="007948D7" w:rsidRDefault="002C7FE6" w:rsidP="00B611F0">
      <w:pPr>
        <w:pStyle w:val="PA"/>
        <w:rPr>
          <w:b/>
        </w:rPr>
      </w:pPr>
      <w:r>
        <w:t xml:space="preserve">The </w:t>
      </w:r>
      <w:r w:rsidR="006B5106">
        <w:t xml:space="preserve">applicable </w:t>
      </w:r>
      <w:r>
        <w:t>threshold amount for single taxpayers is $200,000.</w:t>
      </w:r>
      <w:r w:rsidR="00A02913">
        <w:t xml:space="preserve"> </w:t>
      </w:r>
      <w:r>
        <w:t xml:space="preserve">For married taxpayers filing a joint return, the </w:t>
      </w:r>
      <w:r w:rsidR="006B5106">
        <w:t xml:space="preserve">applicable </w:t>
      </w:r>
      <w:r>
        <w:t xml:space="preserve">threshold </w:t>
      </w:r>
      <w:r w:rsidR="006B5106">
        <w:t xml:space="preserve">amount is </w:t>
      </w:r>
      <w:r>
        <w:t xml:space="preserve">$250,000 (see </w:t>
      </w:r>
      <w:r w:rsidR="00C945AB">
        <w:t>Q 85</w:t>
      </w:r>
      <w:r>
        <w:t>61</w:t>
      </w:r>
      <w:r w:rsidR="001C7D7B">
        <w:t xml:space="preserve"> </w:t>
      </w:r>
      <w:r>
        <w:t>for a</w:t>
      </w:r>
      <w:r w:rsidR="00FE1161">
        <w:t xml:space="preserve"> detailed</w:t>
      </w:r>
      <w:r>
        <w:t xml:space="preserve"> discussion of who is liable for the investment income tax).</w:t>
      </w:r>
    </w:p>
    <w:p w:rsidR="00AC3DC2" w:rsidRPr="00C01F2F" w:rsidRDefault="002C7FE6">
      <w:pPr>
        <w:pStyle w:val="PN"/>
        <w:rPr>
          <w:rFonts w:hint="eastAsia"/>
          <w:sz w:val="24"/>
          <w:szCs w:val="24"/>
        </w:rPr>
      </w:pPr>
      <w:r w:rsidRPr="00C01F2F">
        <w:rPr>
          <w:i/>
          <w:sz w:val="24"/>
          <w:szCs w:val="24"/>
        </w:rPr>
        <w:t>Example</w:t>
      </w:r>
      <w:r w:rsidRPr="00C01F2F">
        <w:rPr>
          <w:sz w:val="24"/>
          <w:szCs w:val="24"/>
        </w:rPr>
        <w:t xml:space="preserve">: </w:t>
      </w:r>
      <w:r w:rsidR="006B5106" w:rsidRPr="00C01F2F">
        <w:rPr>
          <w:sz w:val="24"/>
          <w:szCs w:val="24"/>
        </w:rPr>
        <w:t xml:space="preserve">In 2014, </w:t>
      </w:r>
      <w:r w:rsidRPr="00C01F2F">
        <w:rPr>
          <w:sz w:val="24"/>
          <w:szCs w:val="24"/>
        </w:rPr>
        <w:t xml:space="preserve">Erica and Mickey a married couple </w:t>
      </w:r>
      <w:r w:rsidR="006B5106" w:rsidRPr="00C01F2F">
        <w:rPr>
          <w:sz w:val="24"/>
          <w:szCs w:val="24"/>
        </w:rPr>
        <w:t>filing jointly have an AGI of $</w:t>
      </w:r>
      <w:r w:rsidR="00DA3568" w:rsidRPr="00C01F2F">
        <w:rPr>
          <w:sz w:val="24"/>
          <w:szCs w:val="24"/>
        </w:rPr>
        <w:t>400</w:t>
      </w:r>
      <w:r w:rsidR="006B5106" w:rsidRPr="00C01F2F">
        <w:rPr>
          <w:sz w:val="24"/>
          <w:szCs w:val="24"/>
        </w:rPr>
        <w:t xml:space="preserve">,000 including </w:t>
      </w:r>
      <w:r w:rsidRPr="00C01F2F">
        <w:rPr>
          <w:sz w:val="24"/>
          <w:szCs w:val="24"/>
        </w:rPr>
        <w:t xml:space="preserve">net investment income </w:t>
      </w:r>
      <w:r w:rsidR="006B5106" w:rsidRPr="00C01F2F">
        <w:rPr>
          <w:sz w:val="24"/>
          <w:szCs w:val="24"/>
        </w:rPr>
        <w:t xml:space="preserve">of </w:t>
      </w:r>
      <w:r w:rsidRPr="00C01F2F">
        <w:rPr>
          <w:sz w:val="24"/>
          <w:szCs w:val="24"/>
        </w:rPr>
        <w:t>$125,000.</w:t>
      </w:r>
      <w:r w:rsidR="00466EC3" w:rsidRPr="00C01F2F">
        <w:rPr>
          <w:sz w:val="24"/>
          <w:szCs w:val="24"/>
        </w:rPr>
        <w:t xml:space="preserve">  The applicable threshold amount for a married couple filing jointly is $250,000.</w:t>
      </w:r>
    </w:p>
    <w:p w:rsidR="00AC3DC2" w:rsidRDefault="00AC3DC2" w:rsidP="00AC3DC2">
      <w:pPr>
        <w:pStyle w:val="PN"/>
        <w:ind w:left="0" w:firstLine="0"/>
        <w:rPr>
          <w:rFonts w:hint="eastAsia"/>
          <w:sz w:val="24"/>
          <w:szCs w:val="24"/>
        </w:rPr>
      </w:pPr>
      <w:r>
        <w:t xml:space="preserve">    </w:t>
      </w:r>
      <w:r>
        <w:rPr>
          <w:sz w:val="24"/>
          <w:szCs w:val="24"/>
        </w:rPr>
        <w:t>Applying the formula, the 3.8% net investment tax is imposed on the lesser of:</w:t>
      </w:r>
    </w:p>
    <w:p w:rsidR="00AC3DC2" w:rsidRDefault="00AC3DC2" w:rsidP="00AC3DC2">
      <w:pPr>
        <w:pStyle w:val="PN"/>
        <w:numPr>
          <w:ilvl w:val="0"/>
          <w:numId w:val="18"/>
        </w:numPr>
        <w:rPr>
          <w:rFonts w:hint="eastAsia"/>
          <w:sz w:val="24"/>
          <w:szCs w:val="24"/>
        </w:rPr>
      </w:pPr>
      <w:r>
        <w:rPr>
          <w:sz w:val="24"/>
          <w:szCs w:val="24"/>
        </w:rPr>
        <w:t>Net investment income of $125,000; or</w:t>
      </w:r>
    </w:p>
    <w:p w:rsidR="00F76406" w:rsidRDefault="00AC3DC2" w:rsidP="00F76406">
      <w:pPr>
        <w:pStyle w:val="PN"/>
        <w:numPr>
          <w:ilvl w:val="0"/>
          <w:numId w:val="18"/>
        </w:numPr>
        <w:rPr>
          <w:rFonts w:hint="eastAsia"/>
          <w:sz w:val="24"/>
          <w:szCs w:val="24"/>
        </w:rPr>
      </w:pPr>
      <w:r>
        <w:rPr>
          <w:sz w:val="24"/>
          <w:szCs w:val="24"/>
        </w:rPr>
        <w:t>The excess of (</w:t>
      </w:r>
      <w:proofErr w:type="spellStart"/>
      <w:r>
        <w:rPr>
          <w:sz w:val="24"/>
          <w:szCs w:val="24"/>
        </w:rPr>
        <w:t>i</w:t>
      </w:r>
      <w:proofErr w:type="spellEnd"/>
      <w:r>
        <w:rPr>
          <w:sz w:val="24"/>
          <w:szCs w:val="24"/>
        </w:rPr>
        <w:t>) AGI of $400,000 over (ii) the applicable threshold amount of</w:t>
      </w:r>
      <w:r w:rsidR="00F76406">
        <w:rPr>
          <w:sz w:val="24"/>
          <w:szCs w:val="24"/>
        </w:rPr>
        <w:t xml:space="preserve"> $250,000, or $150,000.</w:t>
      </w:r>
    </w:p>
    <w:p w:rsidR="00F76406" w:rsidRDefault="00F76406" w:rsidP="00F76406">
      <w:pPr>
        <w:pStyle w:val="PN"/>
        <w:ind w:left="0" w:firstLine="0"/>
        <w:rPr>
          <w:rFonts w:hint="eastAsia"/>
          <w:sz w:val="24"/>
          <w:szCs w:val="24"/>
        </w:rPr>
      </w:pPr>
      <w:r>
        <w:rPr>
          <w:sz w:val="24"/>
          <w:szCs w:val="24"/>
        </w:rPr>
        <w:t xml:space="preserve">     Because the lesser of the two amounts is the $125,000 of net investment income, the 3.8% net investment income tax is imposed on the entire amount of net investment income.</w:t>
      </w:r>
    </w:p>
    <w:p w:rsidR="00F76406" w:rsidRPr="004B74F6" w:rsidRDefault="00F76406" w:rsidP="00F76406">
      <w:pPr>
        <w:pStyle w:val="PN"/>
        <w:rPr>
          <w:rFonts w:hint="eastAsia"/>
          <w:sz w:val="24"/>
          <w:szCs w:val="24"/>
        </w:rPr>
      </w:pPr>
      <w:r w:rsidRPr="004B74F6">
        <w:rPr>
          <w:i/>
          <w:sz w:val="24"/>
          <w:szCs w:val="24"/>
        </w:rPr>
        <w:t>Example</w:t>
      </w:r>
      <w:r w:rsidRPr="004B74F6">
        <w:rPr>
          <w:sz w:val="24"/>
          <w:szCs w:val="24"/>
        </w:rPr>
        <w:t>: Assume in 2015, Erica and Mickey have AGI of $300,000 including net investment income of $125,000 (the same amount as it 2014).</w:t>
      </w:r>
    </w:p>
    <w:p w:rsidR="00F76406" w:rsidRDefault="00F76406" w:rsidP="00F76406">
      <w:pPr>
        <w:pStyle w:val="PN"/>
        <w:ind w:left="0" w:firstLine="0"/>
        <w:rPr>
          <w:rFonts w:hint="eastAsia"/>
          <w:sz w:val="24"/>
          <w:szCs w:val="24"/>
        </w:rPr>
      </w:pPr>
      <w:r>
        <w:rPr>
          <w:sz w:val="24"/>
          <w:szCs w:val="24"/>
        </w:rPr>
        <w:t xml:space="preserve">      Applying the formula, the 3.8% net investment tax is imposed on the lesser of:</w:t>
      </w:r>
    </w:p>
    <w:p w:rsidR="00F76406" w:rsidRDefault="00F76406" w:rsidP="00F76406">
      <w:pPr>
        <w:pStyle w:val="PN"/>
        <w:numPr>
          <w:ilvl w:val="0"/>
          <w:numId w:val="19"/>
        </w:numPr>
        <w:rPr>
          <w:rFonts w:hint="eastAsia"/>
          <w:sz w:val="24"/>
          <w:szCs w:val="24"/>
        </w:rPr>
      </w:pPr>
      <w:r>
        <w:rPr>
          <w:sz w:val="24"/>
          <w:szCs w:val="24"/>
        </w:rPr>
        <w:t>Net investment income of $125,000; or</w:t>
      </w:r>
    </w:p>
    <w:p w:rsidR="00F76406" w:rsidRDefault="00F76406" w:rsidP="00F76406">
      <w:pPr>
        <w:pStyle w:val="PN"/>
        <w:numPr>
          <w:ilvl w:val="0"/>
          <w:numId w:val="19"/>
        </w:numPr>
        <w:rPr>
          <w:rFonts w:hint="eastAsia"/>
          <w:sz w:val="24"/>
          <w:szCs w:val="24"/>
        </w:rPr>
      </w:pPr>
      <w:r>
        <w:rPr>
          <w:sz w:val="24"/>
          <w:szCs w:val="24"/>
        </w:rPr>
        <w:t>The excess of (</w:t>
      </w:r>
      <w:proofErr w:type="spellStart"/>
      <w:r>
        <w:rPr>
          <w:sz w:val="24"/>
          <w:szCs w:val="24"/>
        </w:rPr>
        <w:t>i</w:t>
      </w:r>
      <w:proofErr w:type="spellEnd"/>
      <w:r>
        <w:rPr>
          <w:sz w:val="24"/>
          <w:szCs w:val="24"/>
        </w:rPr>
        <w:t>) AGI of $300,000 over (ii) the applicable threshold amount of $250,000, or $50,000.</w:t>
      </w:r>
    </w:p>
    <w:p w:rsidR="00F76406" w:rsidRDefault="00F76406" w:rsidP="00466EC3">
      <w:pPr>
        <w:pStyle w:val="PN"/>
        <w:ind w:left="0" w:firstLine="0"/>
        <w:rPr>
          <w:rFonts w:hint="eastAsia"/>
          <w:sz w:val="24"/>
          <w:szCs w:val="24"/>
        </w:rPr>
      </w:pPr>
      <w:r>
        <w:rPr>
          <w:sz w:val="24"/>
          <w:szCs w:val="24"/>
        </w:rPr>
        <w:t xml:space="preserve">      In this case, the lesser of the two amounts is the excess of AGI over the applicable threshold amount.  Thus, </w:t>
      </w:r>
      <w:r w:rsidR="00466EC3">
        <w:rPr>
          <w:sz w:val="24"/>
          <w:szCs w:val="24"/>
        </w:rPr>
        <w:t xml:space="preserve">in spite of having net investment income of $125,000, </w:t>
      </w:r>
      <w:r>
        <w:rPr>
          <w:sz w:val="24"/>
          <w:szCs w:val="24"/>
        </w:rPr>
        <w:t>only $50,000 is subject to the 3.8% net investment income tax.</w:t>
      </w:r>
    </w:p>
    <w:p w:rsidR="00B516BB" w:rsidRDefault="00C31310" w:rsidP="00B516BB">
      <w:pPr>
        <w:pStyle w:val="PA"/>
        <w:rPr>
          <w:b/>
        </w:rPr>
      </w:pPr>
      <w:r>
        <w:rPr>
          <w:szCs w:val="24"/>
        </w:rPr>
        <w:lastRenderedPageBreak/>
        <w:t xml:space="preserve">      Finally, certain trusts and estates are also subject to the net investment income tax (see Q 8569).</w:t>
      </w:r>
      <w:r w:rsidR="00B516BB">
        <w:rPr>
          <w:szCs w:val="24"/>
        </w:rPr>
        <w:br/>
      </w:r>
    </w:p>
    <w:p w:rsidR="00B516BB" w:rsidRPr="003A35C5" w:rsidRDefault="00B516BB" w:rsidP="00B516BB">
      <w:pPr>
        <w:pStyle w:val="PA"/>
        <w:rPr>
          <w:b/>
        </w:rPr>
      </w:pPr>
      <w:bookmarkStart w:id="0" w:name="_GoBack"/>
      <w:bookmarkEnd w:id="0"/>
      <w:proofErr w:type="gramStart"/>
      <w:r>
        <w:rPr>
          <w:b/>
        </w:rPr>
        <w:t>8559.02</w:t>
      </w:r>
      <w:r w:rsidRPr="0043314E">
        <w:rPr>
          <w:b/>
        </w:rPr>
        <w:t xml:space="preserve"> </w:t>
      </w:r>
      <w:r>
        <w:rPr>
          <w:b/>
        </w:rPr>
        <w:t xml:space="preserve"> </w:t>
      </w:r>
      <w:r w:rsidRPr="0043314E">
        <w:rPr>
          <w:b/>
        </w:rPr>
        <w:t>What</w:t>
      </w:r>
      <w:proofErr w:type="gramEnd"/>
      <w:r w:rsidRPr="0043314E">
        <w:rPr>
          <w:b/>
        </w:rPr>
        <w:t xml:space="preserve"> is modified adjusted gross income for purposes of the investment income tax?</w:t>
      </w:r>
    </w:p>
    <w:p w:rsidR="00C31310" w:rsidRPr="00B516BB" w:rsidRDefault="001C7D7B" w:rsidP="00B516BB">
      <w:pPr>
        <w:pStyle w:val="PN"/>
        <w:ind w:left="0"/>
        <w:rPr>
          <w:rFonts w:hint="eastAsia"/>
          <w:sz w:val="24"/>
          <w:szCs w:val="24"/>
        </w:rPr>
      </w:pPr>
      <w:r>
        <w:rPr>
          <w:sz w:val="24"/>
          <w:szCs w:val="24"/>
        </w:rPr>
        <w:t>F</w:t>
      </w:r>
      <w:r w:rsidR="00B516BB" w:rsidRPr="00B516BB">
        <w:rPr>
          <w:sz w:val="24"/>
          <w:szCs w:val="24"/>
        </w:rPr>
        <w:t xml:space="preserve">or most taxpayers, MAGI </w:t>
      </w:r>
      <w:proofErr w:type="gramStart"/>
      <w:r w:rsidR="00B516BB" w:rsidRPr="00B516BB">
        <w:rPr>
          <w:sz w:val="24"/>
          <w:szCs w:val="24"/>
        </w:rPr>
        <w:t>is</w:t>
      </w:r>
      <w:proofErr w:type="gramEnd"/>
      <w:r w:rsidR="00B516BB" w:rsidRPr="00B516BB">
        <w:rPr>
          <w:sz w:val="24"/>
          <w:szCs w:val="24"/>
        </w:rPr>
        <w:t xml:space="preserve"> the same as their AGI.  This is because the only adjustment</w:t>
      </w:r>
      <w:r w:rsidR="00B516BB">
        <w:rPr>
          <w:sz w:val="24"/>
          <w:szCs w:val="24"/>
        </w:rPr>
        <w:t>s</w:t>
      </w:r>
      <w:r w:rsidR="00B516BB" w:rsidRPr="00B516BB">
        <w:rPr>
          <w:sz w:val="24"/>
          <w:szCs w:val="24"/>
        </w:rPr>
        <w:t xml:space="preserve"> made to AGI in arriving at MAGI relate to foreign earned income.  Specifically, in arriving at MAGI, AGI is increased by the excess of (1) any amounts excluded under IRC 911(a</w:t>
      </w:r>
      <w:proofErr w:type="gramStart"/>
      <w:r w:rsidR="00B516BB" w:rsidRPr="00B516BB">
        <w:rPr>
          <w:sz w:val="24"/>
          <w:szCs w:val="24"/>
        </w:rPr>
        <w:t>)(</w:t>
      </w:r>
      <w:proofErr w:type="gramEnd"/>
      <w:r w:rsidR="00B516BB" w:rsidRPr="00B516BB">
        <w:rPr>
          <w:sz w:val="24"/>
          <w:szCs w:val="24"/>
        </w:rPr>
        <w:t>1) (foreign earned income) over (2) the amount of deductions and exclusions disallowed under IRC 911(d)(6) (which disallows certain deductions and exclusions that would otherwise be properly allocable to an amount excluded from gross income because it is foreign earned income).</w:t>
      </w:r>
      <w:r w:rsidR="00B516BB" w:rsidRPr="00B516BB">
        <w:rPr>
          <w:sz w:val="24"/>
          <w:szCs w:val="24"/>
          <w:vertAlign w:val="superscript"/>
        </w:rPr>
        <w:footnoteReference w:id="2"/>
      </w:r>
      <w:r w:rsidR="00B516BB" w:rsidRPr="00B516BB">
        <w:rPr>
          <w:sz w:val="24"/>
          <w:szCs w:val="24"/>
        </w:rPr>
        <w:t xml:space="preserve">  Thus, absent any foreign earned income, AGI and MAGI are the same amount</w:t>
      </w:r>
      <w:r w:rsidR="00B516BB">
        <w:rPr>
          <w:sz w:val="24"/>
          <w:szCs w:val="24"/>
        </w:rPr>
        <w:t>.</w:t>
      </w:r>
    </w:p>
    <w:p w:rsidR="00F76406" w:rsidRDefault="00F76406" w:rsidP="00F76406">
      <w:pPr>
        <w:pStyle w:val="PN"/>
        <w:rPr>
          <w:rFonts w:hint="eastAsia"/>
        </w:rPr>
      </w:pPr>
    </w:p>
    <w:p w:rsidR="00B611F0" w:rsidRPr="00B611F0" w:rsidRDefault="00B611F0" w:rsidP="00B611F0"/>
    <w:sectPr w:rsidR="00B611F0" w:rsidRPr="00B611F0" w:rsidSect="00271A21">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442" w:rsidRDefault="00532442" w:rsidP="00536B05">
      <w:r>
        <w:separator/>
      </w:r>
    </w:p>
  </w:endnote>
  <w:endnote w:type="continuationSeparator" w:id="0">
    <w:p w:rsidR="00532442" w:rsidRDefault="00532442" w:rsidP="0053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LT Std">
    <w:altName w:val="Cambria"/>
    <w:panose1 w:val="00000000000000000000"/>
    <w:charset w:val="00"/>
    <w:family w:val="swiss"/>
    <w:notTrueType/>
    <w:pitch w:val="variable"/>
    <w:sig w:usb0="800002AF" w:usb1="5000204A" w:usb2="00000000" w:usb3="00000000" w:csb0="00000005"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442" w:rsidRDefault="00532442" w:rsidP="00536B05">
      <w:r>
        <w:separator/>
      </w:r>
    </w:p>
  </w:footnote>
  <w:footnote w:type="continuationSeparator" w:id="0">
    <w:p w:rsidR="00532442" w:rsidRDefault="00532442" w:rsidP="00536B05">
      <w:r>
        <w:continuationSeparator/>
      </w:r>
    </w:p>
  </w:footnote>
  <w:footnote w:id="1">
    <w:p w:rsidR="002C7FE6" w:rsidRPr="00B611F0" w:rsidRDefault="002C7FE6" w:rsidP="00EE7BE5">
      <w:pPr>
        <w:pStyle w:val="PQ"/>
      </w:pPr>
      <w:r w:rsidRPr="00B611F0">
        <w:rPr>
          <w:rStyle w:val="FootnoteReference"/>
          <w:vertAlign w:val="baseline"/>
        </w:rPr>
        <w:footnoteRef/>
      </w:r>
      <w:r w:rsidR="001D533C">
        <w:t>.</w:t>
      </w:r>
      <w:r w:rsidR="001D533C">
        <w:tab/>
      </w:r>
      <w:r w:rsidR="00EE7BE5" w:rsidRPr="00B611F0">
        <w:t>IRC Sec. 1411(a</w:t>
      </w:r>
      <w:proofErr w:type="gramStart"/>
      <w:r w:rsidR="00EE7BE5" w:rsidRPr="00B611F0">
        <w:t>)(</w:t>
      </w:r>
      <w:proofErr w:type="gramEnd"/>
      <w:r w:rsidR="00EE7BE5" w:rsidRPr="00B611F0">
        <w:t>1).</w:t>
      </w:r>
    </w:p>
  </w:footnote>
  <w:footnote w:id="2">
    <w:p w:rsidR="00B516BB" w:rsidRPr="00FE27E1" w:rsidRDefault="00B516BB" w:rsidP="00B516BB">
      <w:pPr>
        <w:pStyle w:val="FootnoteText"/>
        <w:rPr>
          <w:rFonts w:ascii="Perpetua" w:hAnsi="Perpetua"/>
          <w:sz w:val="16"/>
          <w:szCs w:val="16"/>
        </w:rPr>
      </w:pPr>
      <w:r w:rsidRPr="00FE27E1">
        <w:rPr>
          <w:rStyle w:val="FootnoteReference"/>
          <w:rFonts w:ascii="Perpetua" w:hAnsi="Perpetua"/>
          <w:sz w:val="16"/>
          <w:szCs w:val="16"/>
        </w:rPr>
        <w:footnoteRef/>
      </w:r>
      <w:r>
        <w:rPr>
          <w:rFonts w:ascii="Perpetua" w:hAnsi="Perpetua"/>
          <w:sz w:val="16"/>
          <w:szCs w:val="16"/>
        </w:rPr>
        <w:t xml:space="preserve">         </w:t>
      </w:r>
      <w:r w:rsidRPr="00FE27E1">
        <w:rPr>
          <w:rFonts w:ascii="Perpetua" w:hAnsi="Perpetua"/>
          <w:sz w:val="16"/>
          <w:szCs w:val="16"/>
        </w:rPr>
        <w:t xml:space="preserve"> IRC Sec. </w:t>
      </w:r>
      <w:proofErr w:type="gramStart"/>
      <w:r w:rsidRPr="00FE27E1">
        <w:rPr>
          <w:rFonts w:ascii="Perpetua" w:hAnsi="Perpetua"/>
          <w:sz w:val="16"/>
          <w:szCs w:val="16"/>
        </w:rPr>
        <w:t>1411(d</w:t>
      </w:r>
      <w:proofErr w:type="gramEnd"/>
      <w:r w:rsidRPr="00FE27E1">
        <w:rPr>
          <w:rFonts w:ascii="Perpetua" w:hAnsi="Perpetua"/>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BB42CE"/>
    <w:multiLevelType w:val="hybridMultilevel"/>
    <w:tmpl w:val="BF06F940"/>
    <w:lvl w:ilvl="0" w:tplc="60ECB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13ADF"/>
    <w:multiLevelType w:val="hybridMultilevel"/>
    <w:tmpl w:val="F96AFDE4"/>
    <w:lvl w:ilvl="0" w:tplc="86F84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0E0CC4"/>
    <w:multiLevelType w:val="hybridMultilevel"/>
    <w:tmpl w:val="B5FE802C"/>
    <w:lvl w:ilvl="0" w:tplc="1D1875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nsid w:val="3BC110BE"/>
    <w:multiLevelType w:val="hybridMultilevel"/>
    <w:tmpl w:val="9AE02338"/>
    <w:lvl w:ilvl="0" w:tplc="A9B40AD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F675BC"/>
    <w:multiLevelType w:val="hybridMultilevel"/>
    <w:tmpl w:val="F96AFDE4"/>
    <w:lvl w:ilvl="0" w:tplc="86F84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084466"/>
    <w:multiLevelType w:val="hybridMultilevel"/>
    <w:tmpl w:val="20E2C94C"/>
    <w:lvl w:ilvl="0" w:tplc="1C4AC2D0">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1B2CBE"/>
    <w:multiLevelType w:val="singleLevel"/>
    <w:tmpl w:val="0409000F"/>
    <w:lvl w:ilvl="0">
      <w:start w:val="1"/>
      <w:numFmt w:val="decimal"/>
      <w:lvlText w:val="%1."/>
      <w:lvlJc w:val="left"/>
      <w:pPr>
        <w:tabs>
          <w:tab w:val="num" w:pos="360"/>
        </w:tabs>
        <w:ind w:left="360" w:hanging="360"/>
      </w:pPr>
    </w:lvl>
  </w:abstractNum>
  <w:abstractNum w:abstractNumId="13">
    <w:nsid w:val="597F1EEF"/>
    <w:multiLevelType w:val="hybridMultilevel"/>
    <w:tmpl w:val="AE080146"/>
    <w:lvl w:ilvl="0" w:tplc="D3725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5592209"/>
    <w:multiLevelType w:val="hybridMultilevel"/>
    <w:tmpl w:val="601CAE42"/>
    <w:lvl w:ilvl="0" w:tplc="E9261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1"/>
  </w:num>
  <w:num w:numId="2">
    <w:abstractNumId w:val="16"/>
  </w:num>
  <w:num w:numId="3">
    <w:abstractNumId w:val="5"/>
  </w:num>
  <w:num w:numId="4">
    <w:abstractNumId w:val="8"/>
  </w:num>
  <w:num w:numId="5">
    <w:abstractNumId w:val="13"/>
  </w:num>
  <w:num w:numId="6">
    <w:abstractNumId w:val="3"/>
  </w:num>
  <w:num w:numId="7">
    <w:abstractNumId w:val="14"/>
  </w:num>
  <w:num w:numId="8">
    <w:abstractNumId w:val="0"/>
  </w:num>
  <w:num w:numId="9">
    <w:abstractNumId w:val="7"/>
  </w:num>
  <w:num w:numId="10">
    <w:abstractNumId w:val="18"/>
  </w:num>
  <w:num w:numId="11">
    <w:abstractNumId w:val="6"/>
  </w:num>
  <w:num w:numId="12">
    <w:abstractNumId w:val="12"/>
  </w:num>
  <w:num w:numId="13">
    <w:abstractNumId w:val="1"/>
  </w:num>
  <w:num w:numId="14">
    <w:abstractNumId w:val="2"/>
  </w:num>
  <w:num w:numId="15">
    <w:abstractNumId w:val="15"/>
  </w:num>
  <w:num w:numId="16">
    <w:abstractNumId w:val="17"/>
  </w:num>
  <w:num w:numId="17">
    <w:abstractNumId w:val="9"/>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ED"/>
    <w:rsid w:val="00025E46"/>
    <w:rsid w:val="0003025A"/>
    <w:rsid w:val="00060618"/>
    <w:rsid w:val="00065361"/>
    <w:rsid w:val="00094E50"/>
    <w:rsid w:val="000A37F8"/>
    <w:rsid w:val="000C1C63"/>
    <w:rsid w:val="000D179D"/>
    <w:rsid w:val="000D7E02"/>
    <w:rsid w:val="00114A17"/>
    <w:rsid w:val="00114F7E"/>
    <w:rsid w:val="0011643A"/>
    <w:rsid w:val="00133EA9"/>
    <w:rsid w:val="001627BF"/>
    <w:rsid w:val="00166A3D"/>
    <w:rsid w:val="001A5CC6"/>
    <w:rsid w:val="001C2D8B"/>
    <w:rsid w:val="001C7D7B"/>
    <w:rsid w:val="001D533C"/>
    <w:rsid w:val="001E59F3"/>
    <w:rsid w:val="001F52F4"/>
    <w:rsid w:val="00236EBA"/>
    <w:rsid w:val="00257104"/>
    <w:rsid w:val="00267E98"/>
    <w:rsid w:val="00271A21"/>
    <w:rsid w:val="00282D04"/>
    <w:rsid w:val="0028552C"/>
    <w:rsid w:val="00296983"/>
    <w:rsid w:val="002B3FE0"/>
    <w:rsid w:val="002C7FE6"/>
    <w:rsid w:val="002E4F0A"/>
    <w:rsid w:val="00307615"/>
    <w:rsid w:val="003136E3"/>
    <w:rsid w:val="00317415"/>
    <w:rsid w:val="00365BC3"/>
    <w:rsid w:val="00367668"/>
    <w:rsid w:val="003F5AA4"/>
    <w:rsid w:val="00424FBB"/>
    <w:rsid w:val="00437CBE"/>
    <w:rsid w:val="00455D1D"/>
    <w:rsid w:val="00466EC3"/>
    <w:rsid w:val="004A4C0D"/>
    <w:rsid w:val="004A7339"/>
    <w:rsid w:val="004B1350"/>
    <w:rsid w:val="004B74F6"/>
    <w:rsid w:val="004F1F2A"/>
    <w:rsid w:val="004F207E"/>
    <w:rsid w:val="004F6C3F"/>
    <w:rsid w:val="00516BDA"/>
    <w:rsid w:val="00532442"/>
    <w:rsid w:val="00536354"/>
    <w:rsid w:val="00536B05"/>
    <w:rsid w:val="0055218C"/>
    <w:rsid w:val="0059765D"/>
    <w:rsid w:val="005B2080"/>
    <w:rsid w:val="005C50ED"/>
    <w:rsid w:val="005F0467"/>
    <w:rsid w:val="005F747A"/>
    <w:rsid w:val="005F7C9B"/>
    <w:rsid w:val="00623E77"/>
    <w:rsid w:val="006A2941"/>
    <w:rsid w:val="006B2745"/>
    <w:rsid w:val="006B29BA"/>
    <w:rsid w:val="006B5106"/>
    <w:rsid w:val="006F4200"/>
    <w:rsid w:val="006F4885"/>
    <w:rsid w:val="00716912"/>
    <w:rsid w:val="00746177"/>
    <w:rsid w:val="00777AF6"/>
    <w:rsid w:val="007948D7"/>
    <w:rsid w:val="007B0BC4"/>
    <w:rsid w:val="007C1E0C"/>
    <w:rsid w:val="007C6582"/>
    <w:rsid w:val="007D73C8"/>
    <w:rsid w:val="007D7788"/>
    <w:rsid w:val="007F000B"/>
    <w:rsid w:val="00853ACB"/>
    <w:rsid w:val="00856358"/>
    <w:rsid w:val="008B16D5"/>
    <w:rsid w:val="008B183A"/>
    <w:rsid w:val="00917D5C"/>
    <w:rsid w:val="00923713"/>
    <w:rsid w:val="0093676A"/>
    <w:rsid w:val="009418D5"/>
    <w:rsid w:val="00994A42"/>
    <w:rsid w:val="009B2364"/>
    <w:rsid w:val="00A02913"/>
    <w:rsid w:val="00A02AF1"/>
    <w:rsid w:val="00A06D94"/>
    <w:rsid w:val="00A153DC"/>
    <w:rsid w:val="00A15E14"/>
    <w:rsid w:val="00A22ABD"/>
    <w:rsid w:val="00A43D8E"/>
    <w:rsid w:val="00A56136"/>
    <w:rsid w:val="00A804B9"/>
    <w:rsid w:val="00A922D5"/>
    <w:rsid w:val="00AC3DC2"/>
    <w:rsid w:val="00B516BB"/>
    <w:rsid w:val="00B611F0"/>
    <w:rsid w:val="00B8380D"/>
    <w:rsid w:val="00B952C4"/>
    <w:rsid w:val="00BA5395"/>
    <w:rsid w:val="00BD4EBC"/>
    <w:rsid w:val="00BE5482"/>
    <w:rsid w:val="00C00ED3"/>
    <w:rsid w:val="00C01F2F"/>
    <w:rsid w:val="00C07296"/>
    <w:rsid w:val="00C107DC"/>
    <w:rsid w:val="00C31310"/>
    <w:rsid w:val="00C7171A"/>
    <w:rsid w:val="00C945AB"/>
    <w:rsid w:val="00CB5DE6"/>
    <w:rsid w:val="00CE2DE8"/>
    <w:rsid w:val="00D0255A"/>
    <w:rsid w:val="00D279A1"/>
    <w:rsid w:val="00D34A75"/>
    <w:rsid w:val="00D53042"/>
    <w:rsid w:val="00D63101"/>
    <w:rsid w:val="00D655FB"/>
    <w:rsid w:val="00D81626"/>
    <w:rsid w:val="00D8699B"/>
    <w:rsid w:val="00D97308"/>
    <w:rsid w:val="00DA3568"/>
    <w:rsid w:val="00DD2422"/>
    <w:rsid w:val="00DF18F4"/>
    <w:rsid w:val="00E019D6"/>
    <w:rsid w:val="00E3077C"/>
    <w:rsid w:val="00E604DB"/>
    <w:rsid w:val="00E64400"/>
    <w:rsid w:val="00E655DC"/>
    <w:rsid w:val="00E8050C"/>
    <w:rsid w:val="00E94F6A"/>
    <w:rsid w:val="00EA088C"/>
    <w:rsid w:val="00EB058B"/>
    <w:rsid w:val="00EE7BE5"/>
    <w:rsid w:val="00EF384A"/>
    <w:rsid w:val="00F5790C"/>
    <w:rsid w:val="00F76406"/>
    <w:rsid w:val="00F97395"/>
    <w:rsid w:val="00FE1161"/>
    <w:rsid w:val="00FF6100"/>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6B2745"/>
    <w:rPr>
      <w:rFonts w:ascii="Perpetua Std" w:hAnsi="Perpetua Std"/>
    </w:rPr>
  </w:style>
  <w:style w:type="paragraph" w:styleId="Heading1">
    <w:name w:val="heading 1"/>
    <w:basedOn w:val="Normal"/>
    <w:next w:val="Normal"/>
    <w:link w:val="Heading1Char"/>
    <w:qFormat/>
    <w:rsid w:val="006B2745"/>
    <w:pPr>
      <w:keepNext/>
      <w:outlineLvl w:val="0"/>
    </w:pPr>
    <w:rPr>
      <w:b/>
    </w:rPr>
  </w:style>
  <w:style w:type="paragraph" w:styleId="Heading2">
    <w:name w:val="heading 2"/>
    <w:basedOn w:val="Normal"/>
    <w:next w:val="Normal"/>
    <w:link w:val="Heading2Char"/>
    <w:qFormat/>
    <w:rsid w:val="006B2745"/>
    <w:pPr>
      <w:keepNext/>
      <w:spacing w:before="240" w:after="60"/>
      <w:outlineLvl w:val="1"/>
    </w:pPr>
    <w:rPr>
      <w:rFonts w:ascii="Arial" w:hAnsi="Arial"/>
      <w:b/>
      <w:i/>
      <w:sz w:val="24"/>
    </w:rPr>
  </w:style>
  <w:style w:type="paragraph" w:styleId="Heading3">
    <w:name w:val="heading 3"/>
    <w:basedOn w:val="Normal"/>
    <w:next w:val="Normal"/>
    <w:link w:val="Heading3Char"/>
    <w:qFormat/>
    <w:rsid w:val="006B2745"/>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6B2745"/>
    <w:pPr>
      <w:spacing w:after="240"/>
      <w:jc w:val="both"/>
    </w:pPr>
    <w:rPr>
      <w:rFonts w:ascii="Helvetica LT Std" w:hAnsi="Helvetica LT Std"/>
      <w:b/>
      <w:color w:val="000000"/>
      <w:sz w:val="26"/>
    </w:rPr>
  </w:style>
  <w:style w:type="paragraph" w:styleId="FootnoteText">
    <w:name w:val="footnote text"/>
    <w:basedOn w:val="Normal"/>
    <w:link w:val="FootnoteTextChar"/>
    <w:rsid w:val="00536B05"/>
  </w:style>
  <w:style w:type="character" w:customStyle="1" w:styleId="FootnoteTextChar">
    <w:name w:val="Footnote Text Char"/>
    <w:link w:val="FootnoteText"/>
    <w:rsid w:val="00536B05"/>
    <w:rPr>
      <w:sz w:val="20"/>
      <w:szCs w:val="20"/>
    </w:rPr>
  </w:style>
  <w:style w:type="character" w:styleId="FootnoteReference">
    <w:name w:val="footnote reference"/>
    <w:rsid w:val="006B2745"/>
    <w:rPr>
      <w:vertAlign w:val="superscript"/>
    </w:rPr>
  </w:style>
  <w:style w:type="paragraph" w:customStyle="1" w:styleId="PA">
    <w:name w:val="PA"/>
    <w:next w:val="Normal"/>
    <w:link w:val="PAChar"/>
    <w:rsid w:val="006B2745"/>
    <w:pPr>
      <w:spacing w:after="240"/>
      <w:ind w:firstLine="288"/>
      <w:jc w:val="both"/>
    </w:pPr>
    <w:rPr>
      <w:rFonts w:ascii="Perpetua Std" w:hAnsi="Perpetua Std"/>
      <w:color w:val="000000"/>
      <w:sz w:val="24"/>
    </w:rPr>
  </w:style>
  <w:style w:type="character" w:customStyle="1" w:styleId="PAChar">
    <w:name w:val="PA Char"/>
    <w:link w:val="PA"/>
    <w:rsid w:val="006B2745"/>
    <w:rPr>
      <w:rFonts w:ascii="Perpetua Std" w:hAnsi="Perpetua Std"/>
      <w:color w:val="000000"/>
      <w:sz w:val="24"/>
    </w:rPr>
  </w:style>
  <w:style w:type="character" w:styleId="Hyperlink">
    <w:name w:val="Hyperlink"/>
    <w:rsid w:val="00A804B9"/>
    <w:rPr>
      <w:color w:val="0000FF"/>
      <w:u w:val="single"/>
    </w:rPr>
  </w:style>
  <w:style w:type="paragraph" w:styleId="BalloonText">
    <w:name w:val="Balloon Text"/>
    <w:basedOn w:val="Normal"/>
    <w:link w:val="BalloonTextChar"/>
    <w:rsid w:val="00B611F0"/>
    <w:rPr>
      <w:rFonts w:ascii="Tahoma" w:hAnsi="Tahoma" w:cs="Tahoma"/>
      <w:sz w:val="16"/>
      <w:szCs w:val="16"/>
    </w:rPr>
  </w:style>
  <w:style w:type="character" w:customStyle="1" w:styleId="BalloonTextChar">
    <w:name w:val="Balloon Text Char"/>
    <w:link w:val="BalloonText"/>
    <w:rsid w:val="00B611F0"/>
    <w:rPr>
      <w:rFonts w:ascii="Tahoma" w:hAnsi="Tahoma" w:cs="Tahoma"/>
      <w:sz w:val="16"/>
      <w:szCs w:val="16"/>
    </w:rPr>
  </w:style>
  <w:style w:type="paragraph" w:styleId="Footer">
    <w:name w:val="footer"/>
    <w:basedOn w:val="Normal"/>
    <w:link w:val="FooterChar"/>
    <w:rsid w:val="006B2745"/>
    <w:pPr>
      <w:tabs>
        <w:tab w:val="center" w:pos="4320"/>
        <w:tab w:val="right" w:pos="8640"/>
      </w:tabs>
    </w:pPr>
  </w:style>
  <w:style w:type="character" w:customStyle="1" w:styleId="FooterChar">
    <w:name w:val="Footer Char"/>
    <w:link w:val="Footer"/>
    <w:rsid w:val="00B611F0"/>
    <w:rPr>
      <w:rFonts w:ascii="Perpetua Std" w:hAnsi="Perpetua Std"/>
    </w:rPr>
  </w:style>
  <w:style w:type="paragraph" w:styleId="Header">
    <w:name w:val="header"/>
    <w:basedOn w:val="Normal"/>
    <w:link w:val="HeaderChar"/>
    <w:rsid w:val="006B2745"/>
    <w:pPr>
      <w:tabs>
        <w:tab w:val="center" w:pos="4320"/>
        <w:tab w:val="right" w:pos="8640"/>
      </w:tabs>
    </w:pPr>
  </w:style>
  <w:style w:type="character" w:customStyle="1" w:styleId="HeaderChar">
    <w:name w:val="Header Char"/>
    <w:link w:val="Header"/>
    <w:rsid w:val="00B611F0"/>
    <w:rPr>
      <w:rFonts w:ascii="Perpetua Std" w:hAnsi="Perpetua Std"/>
    </w:rPr>
  </w:style>
  <w:style w:type="paragraph" w:customStyle="1" w:styleId="Standard">
    <w:name w:val="Standard"/>
    <w:rsid w:val="006B2745"/>
    <w:pPr>
      <w:spacing w:before="144"/>
      <w:jc w:val="both"/>
    </w:pPr>
    <w:rPr>
      <w:noProof/>
    </w:rPr>
  </w:style>
  <w:style w:type="paragraph" w:customStyle="1" w:styleId="PB">
    <w:name w:val="PB"/>
    <w:rsid w:val="006B2745"/>
    <w:pPr>
      <w:spacing w:after="240"/>
      <w:jc w:val="both"/>
    </w:pPr>
    <w:rPr>
      <w:rFonts w:ascii="Perpetua Std" w:hAnsi="Perpetua Std"/>
      <w:color w:val="000000"/>
      <w:sz w:val="24"/>
    </w:rPr>
  </w:style>
  <w:style w:type="paragraph" w:customStyle="1" w:styleId="PC">
    <w:name w:val="PC"/>
    <w:rsid w:val="006B2745"/>
    <w:pPr>
      <w:tabs>
        <w:tab w:val="left" w:pos="720"/>
      </w:tabs>
      <w:spacing w:after="240"/>
      <w:ind w:left="720" w:hanging="360"/>
      <w:jc w:val="both"/>
    </w:pPr>
    <w:rPr>
      <w:rFonts w:ascii="Perpetua Std" w:hAnsi="Perpetua Std"/>
      <w:color w:val="000000"/>
      <w:sz w:val="24"/>
    </w:rPr>
  </w:style>
  <w:style w:type="paragraph" w:customStyle="1" w:styleId="PD">
    <w:name w:val="PD"/>
    <w:rsid w:val="006B2745"/>
    <w:pPr>
      <w:spacing w:after="240"/>
      <w:ind w:left="720" w:firstLine="288"/>
      <w:jc w:val="both"/>
    </w:pPr>
    <w:rPr>
      <w:rFonts w:ascii="Perpetua Std" w:hAnsi="Perpetua Std"/>
      <w:color w:val="000000"/>
      <w:sz w:val="24"/>
    </w:rPr>
  </w:style>
  <w:style w:type="paragraph" w:customStyle="1" w:styleId="PE">
    <w:name w:val="PE"/>
    <w:rsid w:val="006B2745"/>
    <w:pPr>
      <w:spacing w:after="240"/>
      <w:ind w:left="720"/>
      <w:jc w:val="both"/>
    </w:pPr>
    <w:rPr>
      <w:rFonts w:ascii="Perpetua Std" w:hAnsi="Perpetua Std"/>
      <w:color w:val="000000"/>
      <w:sz w:val="24"/>
    </w:rPr>
  </w:style>
  <w:style w:type="paragraph" w:customStyle="1" w:styleId="PF">
    <w:name w:val="PF"/>
    <w:rsid w:val="006B2745"/>
    <w:pPr>
      <w:tabs>
        <w:tab w:val="left" w:pos="1080"/>
      </w:tabs>
      <w:spacing w:after="240"/>
      <w:ind w:left="1080" w:hanging="360"/>
      <w:jc w:val="both"/>
    </w:pPr>
    <w:rPr>
      <w:rFonts w:ascii="Perpetua Std" w:hAnsi="Perpetua Std"/>
      <w:color w:val="000000"/>
      <w:sz w:val="24"/>
    </w:rPr>
  </w:style>
  <w:style w:type="paragraph" w:customStyle="1" w:styleId="PG">
    <w:name w:val="PG"/>
    <w:rsid w:val="006B2745"/>
    <w:pPr>
      <w:spacing w:after="240"/>
      <w:ind w:left="360"/>
      <w:jc w:val="both"/>
    </w:pPr>
    <w:rPr>
      <w:rFonts w:ascii="Perpetua Std" w:hAnsi="Perpetua Std"/>
      <w:color w:val="000000"/>
      <w:sz w:val="24"/>
    </w:rPr>
  </w:style>
  <w:style w:type="paragraph" w:customStyle="1" w:styleId="PH">
    <w:name w:val="PH"/>
    <w:rsid w:val="006B2745"/>
    <w:pPr>
      <w:tabs>
        <w:tab w:val="left" w:pos="360"/>
      </w:tabs>
      <w:spacing w:after="240"/>
      <w:ind w:left="360" w:hanging="360"/>
      <w:jc w:val="both"/>
    </w:pPr>
    <w:rPr>
      <w:rFonts w:ascii="Perpetua Std" w:hAnsi="Perpetua Std"/>
      <w:color w:val="000000"/>
      <w:sz w:val="24"/>
    </w:rPr>
  </w:style>
  <w:style w:type="paragraph" w:customStyle="1" w:styleId="PI">
    <w:name w:val="PI"/>
    <w:rsid w:val="006B2745"/>
    <w:pPr>
      <w:spacing w:after="240"/>
      <w:ind w:left="360" w:hanging="360"/>
      <w:jc w:val="both"/>
    </w:pPr>
    <w:rPr>
      <w:rFonts w:ascii="Perpetua Std" w:hAnsi="Perpetua Std"/>
      <w:color w:val="000000"/>
      <w:sz w:val="24"/>
    </w:rPr>
  </w:style>
  <w:style w:type="paragraph" w:customStyle="1" w:styleId="PK">
    <w:name w:val="PK"/>
    <w:rsid w:val="006B2745"/>
    <w:pPr>
      <w:spacing w:after="240"/>
      <w:ind w:left="360" w:firstLine="288"/>
      <w:jc w:val="both"/>
    </w:pPr>
    <w:rPr>
      <w:rFonts w:ascii="Perpetua Std" w:hAnsi="Perpetua Std"/>
      <w:color w:val="000000"/>
      <w:sz w:val="24"/>
    </w:rPr>
  </w:style>
  <w:style w:type="paragraph" w:customStyle="1" w:styleId="PL">
    <w:name w:val="PL"/>
    <w:rsid w:val="006B2745"/>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6B2745"/>
    <w:pPr>
      <w:spacing w:after="240"/>
      <w:ind w:left="432" w:right="432" w:firstLine="432"/>
      <w:jc w:val="both"/>
    </w:pPr>
    <w:rPr>
      <w:rFonts w:ascii="Minion Pro" w:hAnsi="Minion Pro"/>
    </w:rPr>
  </w:style>
  <w:style w:type="paragraph" w:customStyle="1" w:styleId="TOC">
    <w:name w:val="TOC"/>
    <w:autoRedefine/>
    <w:rsid w:val="006B2745"/>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6B2745"/>
    <w:pPr>
      <w:tabs>
        <w:tab w:val="clear" w:pos="1440"/>
        <w:tab w:val="clear" w:pos="8640"/>
        <w:tab w:val="left" w:pos="240"/>
        <w:tab w:val="left" w:pos="480"/>
        <w:tab w:val="right" w:leader="dot" w:pos="4680"/>
      </w:tabs>
      <w:ind w:left="0" w:firstLine="0"/>
    </w:pPr>
    <w:rPr>
      <w:sz w:val="22"/>
    </w:rPr>
  </w:style>
  <w:style w:type="paragraph" w:customStyle="1" w:styleId="PQ">
    <w:name w:val="PQ"/>
    <w:link w:val="PQChar"/>
    <w:rsid w:val="006B2745"/>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6B2745"/>
    <w:rPr>
      <w:rFonts w:ascii="Adobe Caslon Pro" w:hAnsi="Adobe Caslon Pro"/>
      <w:color w:val="000000"/>
      <w:sz w:val="14"/>
    </w:rPr>
  </w:style>
  <w:style w:type="paragraph" w:customStyle="1" w:styleId="HD">
    <w:name w:val="HD"/>
    <w:rsid w:val="006B2745"/>
    <w:pPr>
      <w:suppressAutoHyphens/>
      <w:spacing w:before="120"/>
      <w:jc w:val="center"/>
    </w:pPr>
    <w:rPr>
      <w:rFonts w:ascii="Helvetica LT Std" w:hAnsi="Helvetica LT Std"/>
      <w:sz w:val="26"/>
      <w:szCs w:val="18"/>
    </w:rPr>
  </w:style>
  <w:style w:type="paragraph" w:customStyle="1" w:styleId="PP">
    <w:name w:val="PP"/>
    <w:rsid w:val="006B2745"/>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6B2745"/>
    <w:pPr>
      <w:spacing w:before="120" w:after="120"/>
      <w:jc w:val="center"/>
    </w:pPr>
    <w:rPr>
      <w:rFonts w:ascii="Helvetica LT Std" w:hAnsi="Helvetica LT Std"/>
      <w:sz w:val="24"/>
    </w:rPr>
  </w:style>
  <w:style w:type="paragraph" w:customStyle="1" w:styleId="PN">
    <w:name w:val="PN"/>
    <w:rsid w:val="006B2745"/>
    <w:pPr>
      <w:spacing w:after="240"/>
      <w:ind w:left="720" w:firstLine="288"/>
      <w:jc w:val="both"/>
    </w:pPr>
    <w:rPr>
      <w:rFonts w:ascii="Perpetua Std" w:eastAsia="MS Mincho" w:hAnsi="Perpetua Std"/>
      <w:color w:val="000000"/>
    </w:rPr>
  </w:style>
  <w:style w:type="table" w:styleId="TableGrid">
    <w:name w:val="Table Grid"/>
    <w:basedOn w:val="TableNormal"/>
    <w:rsid w:val="006B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6B2745"/>
    <w:pPr>
      <w:spacing w:after="240"/>
      <w:jc w:val="center"/>
    </w:pPr>
    <w:rPr>
      <w:rFonts w:ascii="Helvetica LT Std" w:hAnsi="Helvetica LT Std"/>
      <w:b/>
      <w:caps/>
      <w:color w:val="000000"/>
      <w:sz w:val="36"/>
      <w:szCs w:val="32"/>
    </w:rPr>
  </w:style>
  <w:style w:type="paragraph" w:customStyle="1" w:styleId="HB">
    <w:name w:val="HB"/>
    <w:rsid w:val="006B2745"/>
    <w:pPr>
      <w:spacing w:before="120" w:after="240"/>
      <w:jc w:val="center"/>
    </w:pPr>
    <w:rPr>
      <w:rFonts w:ascii="Helvetica LT Std" w:hAnsi="Helvetica LT Std"/>
      <w:b/>
      <w:color w:val="5F5F5F"/>
      <w:w w:val="105"/>
      <w:sz w:val="32"/>
    </w:rPr>
  </w:style>
  <w:style w:type="paragraph" w:customStyle="1" w:styleId="HC">
    <w:name w:val="HC"/>
    <w:autoRedefine/>
    <w:rsid w:val="006B2745"/>
    <w:pPr>
      <w:tabs>
        <w:tab w:val="left" w:pos="284"/>
      </w:tabs>
      <w:spacing w:before="120" w:after="120"/>
      <w:jc w:val="center"/>
    </w:pPr>
    <w:rPr>
      <w:rFonts w:ascii="Helvetica LT Std" w:hAnsi="Helvetica LT Std"/>
      <w:b/>
      <w:color w:val="000000"/>
      <w:w w:val="110"/>
      <w:sz w:val="26"/>
    </w:rPr>
  </w:style>
  <w:style w:type="paragraph" w:customStyle="1" w:styleId="PR">
    <w:name w:val="PR"/>
    <w:rsid w:val="006B2745"/>
    <w:pPr>
      <w:spacing w:after="240"/>
      <w:ind w:left="360" w:firstLine="288"/>
      <w:jc w:val="both"/>
    </w:pPr>
    <w:rPr>
      <w:rFonts w:ascii="Adobe Caslon Pro" w:hAnsi="Adobe Caslon Pro"/>
      <w:color w:val="000000"/>
      <w:sz w:val="14"/>
    </w:rPr>
  </w:style>
  <w:style w:type="paragraph" w:customStyle="1" w:styleId="PO">
    <w:name w:val="PO"/>
    <w:rsid w:val="006B2745"/>
    <w:pPr>
      <w:spacing w:after="240"/>
      <w:jc w:val="both"/>
    </w:pPr>
    <w:rPr>
      <w:rFonts w:ascii="Perpetua Std" w:hAnsi="Perpetua Std"/>
      <w:color w:val="000000"/>
      <w:w w:val="95"/>
      <w:szCs w:val="16"/>
    </w:rPr>
  </w:style>
  <w:style w:type="paragraph" w:customStyle="1" w:styleId="GUIDEX">
    <w:name w:val="GUIDEX"/>
    <w:rsid w:val="006B2745"/>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6B2745"/>
    <w:pPr>
      <w:tabs>
        <w:tab w:val="clear" w:pos="240"/>
        <w:tab w:val="clear" w:pos="480"/>
        <w:tab w:val="clear" w:pos="720"/>
        <w:tab w:val="right" w:pos="4680"/>
      </w:tabs>
    </w:pPr>
  </w:style>
  <w:style w:type="paragraph" w:customStyle="1" w:styleId="PCB">
    <w:name w:val="PCB"/>
    <w:autoRedefine/>
    <w:rsid w:val="006B2745"/>
    <w:pPr>
      <w:numPr>
        <w:numId w:val="13"/>
      </w:numPr>
      <w:tabs>
        <w:tab w:val="left" w:pos="720"/>
      </w:tabs>
      <w:spacing w:after="240"/>
      <w:ind w:left="720"/>
      <w:jc w:val="both"/>
    </w:pPr>
    <w:rPr>
      <w:rFonts w:ascii="Perpetua Std" w:hAnsi="Perpetua Std"/>
      <w:color w:val="000000"/>
      <w:sz w:val="24"/>
    </w:rPr>
  </w:style>
  <w:style w:type="paragraph" w:customStyle="1" w:styleId="PFB">
    <w:name w:val="PFB"/>
    <w:autoRedefine/>
    <w:rsid w:val="006B2745"/>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6B2745"/>
    <w:rPr>
      <w:rFonts w:ascii="Perpetua Std" w:hAnsi="Perpetua Std"/>
    </w:rPr>
  </w:style>
  <w:style w:type="paragraph" w:styleId="NoSpacing">
    <w:name w:val="No Spacing"/>
    <w:qFormat/>
    <w:rsid w:val="006B2745"/>
    <w:rPr>
      <w:rFonts w:ascii="Perpetua" w:hAnsi="Perpetua"/>
    </w:rPr>
  </w:style>
  <w:style w:type="paragraph" w:customStyle="1" w:styleId="PCA">
    <w:name w:val="PCA"/>
    <w:rsid w:val="006B2745"/>
    <w:pPr>
      <w:numPr>
        <w:numId w:val="16"/>
      </w:numPr>
      <w:tabs>
        <w:tab w:val="left" w:pos="720"/>
      </w:tabs>
      <w:spacing w:after="240"/>
      <w:jc w:val="both"/>
    </w:pPr>
    <w:rPr>
      <w:rFonts w:ascii="Perpetua Std" w:hAnsi="Perpetua Std"/>
      <w:sz w:val="24"/>
    </w:rPr>
  </w:style>
  <w:style w:type="paragraph" w:customStyle="1" w:styleId="PHB">
    <w:name w:val="PHB"/>
    <w:rsid w:val="006B2745"/>
    <w:pPr>
      <w:numPr>
        <w:numId w:val="17"/>
      </w:numPr>
      <w:tabs>
        <w:tab w:val="left" w:pos="360"/>
      </w:tabs>
      <w:spacing w:after="240"/>
      <w:jc w:val="both"/>
    </w:pPr>
    <w:rPr>
      <w:rFonts w:ascii="Perpetua Std" w:hAnsi="Perpetua Std"/>
      <w:sz w:val="24"/>
    </w:rPr>
  </w:style>
  <w:style w:type="character" w:customStyle="1" w:styleId="IndexChar">
    <w:name w:val="Index Char"/>
    <w:link w:val="Index"/>
    <w:rsid w:val="006B2745"/>
    <w:rPr>
      <w:rFonts w:ascii="Perpetua Std" w:eastAsia="MS Mincho" w:hAnsi="Perpetua Std"/>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6B2745"/>
    <w:rPr>
      <w:rFonts w:ascii="Perpetua Std" w:hAnsi="Perpetua Std"/>
    </w:rPr>
  </w:style>
  <w:style w:type="paragraph" w:styleId="Heading1">
    <w:name w:val="heading 1"/>
    <w:basedOn w:val="Normal"/>
    <w:next w:val="Normal"/>
    <w:link w:val="Heading1Char"/>
    <w:qFormat/>
    <w:rsid w:val="006B2745"/>
    <w:pPr>
      <w:keepNext/>
      <w:outlineLvl w:val="0"/>
    </w:pPr>
    <w:rPr>
      <w:b/>
    </w:rPr>
  </w:style>
  <w:style w:type="paragraph" w:styleId="Heading2">
    <w:name w:val="heading 2"/>
    <w:basedOn w:val="Normal"/>
    <w:next w:val="Normal"/>
    <w:link w:val="Heading2Char"/>
    <w:qFormat/>
    <w:rsid w:val="006B2745"/>
    <w:pPr>
      <w:keepNext/>
      <w:spacing w:before="240" w:after="60"/>
      <w:outlineLvl w:val="1"/>
    </w:pPr>
    <w:rPr>
      <w:rFonts w:ascii="Arial" w:hAnsi="Arial"/>
      <w:b/>
      <w:i/>
      <w:sz w:val="24"/>
    </w:rPr>
  </w:style>
  <w:style w:type="paragraph" w:styleId="Heading3">
    <w:name w:val="heading 3"/>
    <w:basedOn w:val="Normal"/>
    <w:next w:val="Normal"/>
    <w:link w:val="Heading3Char"/>
    <w:qFormat/>
    <w:rsid w:val="006B2745"/>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6B2745"/>
    <w:pPr>
      <w:spacing w:after="240"/>
      <w:jc w:val="both"/>
    </w:pPr>
    <w:rPr>
      <w:rFonts w:ascii="Helvetica LT Std" w:hAnsi="Helvetica LT Std"/>
      <w:b/>
      <w:color w:val="000000"/>
      <w:sz w:val="26"/>
    </w:rPr>
  </w:style>
  <w:style w:type="paragraph" w:styleId="FootnoteText">
    <w:name w:val="footnote text"/>
    <w:basedOn w:val="Normal"/>
    <w:link w:val="FootnoteTextChar"/>
    <w:rsid w:val="00536B05"/>
  </w:style>
  <w:style w:type="character" w:customStyle="1" w:styleId="FootnoteTextChar">
    <w:name w:val="Footnote Text Char"/>
    <w:link w:val="FootnoteText"/>
    <w:rsid w:val="00536B05"/>
    <w:rPr>
      <w:sz w:val="20"/>
      <w:szCs w:val="20"/>
    </w:rPr>
  </w:style>
  <w:style w:type="character" w:styleId="FootnoteReference">
    <w:name w:val="footnote reference"/>
    <w:rsid w:val="006B2745"/>
    <w:rPr>
      <w:vertAlign w:val="superscript"/>
    </w:rPr>
  </w:style>
  <w:style w:type="paragraph" w:customStyle="1" w:styleId="PA">
    <w:name w:val="PA"/>
    <w:next w:val="Normal"/>
    <w:link w:val="PAChar"/>
    <w:rsid w:val="006B2745"/>
    <w:pPr>
      <w:spacing w:after="240"/>
      <w:ind w:firstLine="288"/>
      <w:jc w:val="both"/>
    </w:pPr>
    <w:rPr>
      <w:rFonts w:ascii="Perpetua Std" w:hAnsi="Perpetua Std"/>
      <w:color w:val="000000"/>
      <w:sz w:val="24"/>
    </w:rPr>
  </w:style>
  <w:style w:type="character" w:customStyle="1" w:styleId="PAChar">
    <w:name w:val="PA Char"/>
    <w:link w:val="PA"/>
    <w:rsid w:val="006B2745"/>
    <w:rPr>
      <w:rFonts w:ascii="Perpetua Std" w:hAnsi="Perpetua Std"/>
      <w:color w:val="000000"/>
      <w:sz w:val="24"/>
    </w:rPr>
  </w:style>
  <w:style w:type="character" w:styleId="Hyperlink">
    <w:name w:val="Hyperlink"/>
    <w:rsid w:val="00A804B9"/>
    <w:rPr>
      <w:color w:val="0000FF"/>
      <w:u w:val="single"/>
    </w:rPr>
  </w:style>
  <w:style w:type="paragraph" w:styleId="BalloonText">
    <w:name w:val="Balloon Text"/>
    <w:basedOn w:val="Normal"/>
    <w:link w:val="BalloonTextChar"/>
    <w:rsid w:val="00B611F0"/>
    <w:rPr>
      <w:rFonts w:ascii="Tahoma" w:hAnsi="Tahoma" w:cs="Tahoma"/>
      <w:sz w:val="16"/>
      <w:szCs w:val="16"/>
    </w:rPr>
  </w:style>
  <w:style w:type="character" w:customStyle="1" w:styleId="BalloonTextChar">
    <w:name w:val="Balloon Text Char"/>
    <w:link w:val="BalloonText"/>
    <w:rsid w:val="00B611F0"/>
    <w:rPr>
      <w:rFonts w:ascii="Tahoma" w:hAnsi="Tahoma" w:cs="Tahoma"/>
      <w:sz w:val="16"/>
      <w:szCs w:val="16"/>
    </w:rPr>
  </w:style>
  <w:style w:type="paragraph" w:styleId="Footer">
    <w:name w:val="footer"/>
    <w:basedOn w:val="Normal"/>
    <w:link w:val="FooterChar"/>
    <w:rsid w:val="006B2745"/>
    <w:pPr>
      <w:tabs>
        <w:tab w:val="center" w:pos="4320"/>
        <w:tab w:val="right" w:pos="8640"/>
      </w:tabs>
    </w:pPr>
  </w:style>
  <w:style w:type="character" w:customStyle="1" w:styleId="FooterChar">
    <w:name w:val="Footer Char"/>
    <w:link w:val="Footer"/>
    <w:rsid w:val="00B611F0"/>
    <w:rPr>
      <w:rFonts w:ascii="Perpetua Std" w:hAnsi="Perpetua Std"/>
    </w:rPr>
  </w:style>
  <w:style w:type="paragraph" w:styleId="Header">
    <w:name w:val="header"/>
    <w:basedOn w:val="Normal"/>
    <w:link w:val="HeaderChar"/>
    <w:rsid w:val="006B2745"/>
    <w:pPr>
      <w:tabs>
        <w:tab w:val="center" w:pos="4320"/>
        <w:tab w:val="right" w:pos="8640"/>
      </w:tabs>
    </w:pPr>
  </w:style>
  <w:style w:type="character" w:customStyle="1" w:styleId="HeaderChar">
    <w:name w:val="Header Char"/>
    <w:link w:val="Header"/>
    <w:rsid w:val="00B611F0"/>
    <w:rPr>
      <w:rFonts w:ascii="Perpetua Std" w:hAnsi="Perpetua Std"/>
    </w:rPr>
  </w:style>
  <w:style w:type="paragraph" w:customStyle="1" w:styleId="Standard">
    <w:name w:val="Standard"/>
    <w:rsid w:val="006B2745"/>
    <w:pPr>
      <w:spacing w:before="144"/>
      <w:jc w:val="both"/>
    </w:pPr>
    <w:rPr>
      <w:noProof/>
    </w:rPr>
  </w:style>
  <w:style w:type="paragraph" w:customStyle="1" w:styleId="PB">
    <w:name w:val="PB"/>
    <w:rsid w:val="006B2745"/>
    <w:pPr>
      <w:spacing w:after="240"/>
      <w:jc w:val="both"/>
    </w:pPr>
    <w:rPr>
      <w:rFonts w:ascii="Perpetua Std" w:hAnsi="Perpetua Std"/>
      <w:color w:val="000000"/>
      <w:sz w:val="24"/>
    </w:rPr>
  </w:style>
  <w:style w:type="paragraph" w:customStyle="1" w:styleId="PC">
    <w:name w:val="PC"/>
    <w:rsid w:val="006B2745"/>
    <w:pPr>
      <w:tabs>
        <w:tab w:val="left" w:pos="720"/>
      </w:tabs>
      <w:spacing w:after="240"/>
      <w:ind w:left="720" w:hanging="360"/>
      <w:jc w:val="both"/>
    </w:pPr>
    <w:rPr>
      <w:rFonts w:ascii="Perpetua Std" w:hAnsi="Perpetua Std"/>
      <w:color w:val="000000"/>
      <w:sz w:val="24"/>
    </w:rPr>
  </w:style>
  <w:style w:type="paragraph" w:customStyle="1" w:styleId="PD">
    <w:name w:val="PD"/>
    <w:rsid w:val="006B2745"/>
    <w:pPr>
      <w:spacing w:after="240"/>
      <w:ind w:left="720" w:firstLine="288"/>
      <w:jc w:val="both"/>
    </w:pPr>
    <w:rPr>
      <w:rFonts w:ascii="Perpetua Std" w:hAnsi="Perpetua Std"/>
      <w:color w:val="000000"/>
      <w:sz w:val="24"/>
    </w:rPr>
  </w:style>
  <w:style w:type="paragraph" w:customStyle="1" w:styleId="PE">
    <w:name w:val="PE"/>
    <w:rsid w:val="006B2745"/>
    <w:pPr>
      <w:spacing w:after="240"/>
      <w:ind w:left="720"/>
      <w:jc w:val="both"/>
    </w:pPr>
    <w:rPr>
      <w:rFonts w:ascii="Perpetua Std" w:hAnsi="Perpetua Std"/>
      <w:color w:val="000000"/>
      <w:sz w:val="24"/>
    </w:rPr>
  </w:style>
  <w:style w:type="paragraph" w:customStyle="1" w:styleId="PF">
    <w:name w:val="PF"/>
    <w:rsid w:val="006B2745"/>
    <w:pPr>
      <w:tabs>
        <w:tab w:val="left" w:pos="1080"/>
      </w:tabs>
      <w:spacing w:after="240"/>
      <w:ind w:left="1080" w:hanging="360"/>
      <w:jc w:val="both"/>
    </w:pPr>
    <w:rPr>
      <w:rFonts w:ascii="Perpetua Std" w:hAnsi="Perpetua Std"/>
      <w:color w:val="000000"/>
      <w:sz w:val="24"/>
    </w:rPr>
  </w:style>
  <w:style w:type="paragraph" w:customStyle="1" w:styleId="PG">
    <w:name w:val="PG"/>
    <w:rsid w:val="006B2745"/>
    <w:pPr>
      <w:spacing w:after="240"/>
      <w:ind w:left="360"/>
      <w:jc w:val="both"/>
    </w:pPr>
    <w:rPr>
      <w:rFonts w:ascii="Perpetua Std" w:hAnsi="Perpetua Std"/>
      <w:color w:val="000000"/>
      <w:sz w:val="24"/>
    </w:rPr>
  </w:style>
  <w:style w:type="paragraph" w:customStyle="1" w:styleId="PH">
    <w:name w:val="PH"/>
    <w:rsid w:val="006B2745"/>
    <w:pPr>
      <w:tabs>
        <w:tab w:val="left" w:pos="360"/>
      </w:tabs>
      <w:spacing w:after="240"/>
      <w:ind w:left="360" w:hanging="360"/>
      <w:jc w:val="both"/>
    </w:pPr>
    <w:rPr>
      <w:rFonts w:ascii="Perpetua Std" w:hAnsi="Perpetua Std"/>
      <w:color w:val="000000"/>
      <w:sz w:val="24"/>
    </w:rPr>
  </w:style>
  <w:style w:type="paragraph" w:customStyle="1" w:styleId="PI">
    <w:name w:val="PI"/>
    <w:rsid w:val="006B2745"/>
    <w:pPr>
      <w:spacing w:after="240"/>
      <w:ind w:left="360" w:hanging="360"/>
      <w:jc w:val="both"/>
    </w:pPr>
    <w:rPr>
      <w:rFonts w:ascii="Perpetua Std" w:hAnsi="Perpetua Std"/>
      <w:color w:val="000000"/>
      <w:sz w:val="24"/>
    </w:rPr>
  </w:style>
  <w:style w:type="paragraph" w:customStyle="1" w:styleId="PK">
    <w:name w:val="PK"/>
    <w:rsid w:val="006B2745"/>
    <w:pPr>
      <w:spacing w:after="240"/>
      <w:ind w:left="360" w:firstLine="288"/>
      <w:jc w:val="both"/>
    </w:pPr>
    <w:rPr>
      <w:rFonts w:ascii="Perpetua Std" w:hAnsi="Perpetua Std"/>
      <w:color w:val="000000"/>
      <w:sz w:val="24"/>
    </w:rPr>
  </w:style>
  <w:style w:type="paragraph" w:customStyle="1" w:styleId="PL">
    <w:name w:val="PL"/>
    <w:rsid w:val="006B2745"/>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6B2745"/>
    <w:pPr>
      <w:spacing w:after="240"/>
      <w:ind w:left="432" w:right="432" w:firstLine="432"/>
      <w:jc w:val="both"/>
    </w:pPr>
    <w:rPr>
      <w:rFonts w:ascii="Minion Pro" w:hAnsi="Minion Pro"/>
    </w:rPr>
  </w:style>
  <w:style w:type="paragraph" w:customStyle="1" w:styleId="TOC">
    <w:name w:val="TOC"/>
    <w:autoRedefine/>
    <w:rsid w:val="006B2745"/>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6B2745"/>
    <w:pPr>
      <w:tabs>
        <w:tab w:val="clear" w:pos="1440"/>
        <w:tab w:val="clear" w:pos="8640"/>
        <w:tab w:val="left" w:pos="240"/>
        <w:tab w:val="left" w:pos="480"/>
        <w:tab w:val="right" w:leader="dot" w:pos="4680"/>
      </w:tabs>
      <w:ind w:left="0" w:firstLine="0"/>
    </w:pPr>
    <w:rPr>
      <w:sz w:val="22"/>
    </w:rPr>
  </w:style>
  <w:style w:type="paragraph" w:customStyle="1" w:styleId="PQ">
    <w:name w:val="PQ"/>
    <w:link w:val="PQChar"/>
    <w:rsid w:val="006B2745"/>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6B2745"/>
    <w:rPr>
      <w:rFonts w:ascii="Adobe Caslon Pro" w:hAnsi="Adobe Caslon Pro"/>
      <w:color w:val="000000"/>
      <w:sz w:val="14"/>
    </w:rPr>
  </w:style>
  <w:style w:type="paragraph" w:customStyle="1" w:styleId="HD">
    <w:name w:val="HD"/>
    <w:rsid w:val="006B2745"/>
    <w:pPr>
      <w:suppressAutoHyphens/>
      <w:spacing w:before="120"/>
      <w:jc w:val="center"/>
    </w:pPr>
    <w:rPr>
      <w:rFonts w:ascii="Helvetica LT Std" w:hAnsi="Helvetica LT Std"/>
      <w:sz w:val="26"/>
      <w:szCs w:val="18"/>
    </w:rPr>
  </w:style>
  <w:style w:type="paragraph" w:customStyle="1" w:styleId="PP">
    <w:name w:val="PP"/>
    <w:rsid w:val="006B2745"/>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6B2745"/>
    <w:pPr>
      <w:spacing w:before="120" w:after="120"/>
      <w:jc w:val="center"/>
    </w:pPr>
    <w:rPr>
      <w:rFonts w:ascii="Helvetica LT Std" w:hAnsi="Helvetica LT Std"/>
      <w:sz w:val="24"/>
    </w:rPr>
  </w:style>
  <w:style w:type="paragraph" w:customStyle="1" w:styleId="PN">
    <w:name w:val="PN"/>
    <w:rsid w:val="006B2745"/>
    <w:pPr>
      <w:spacing w:after="240"/>
      <w:ind w:left="720" w:firstLine="288"/>
      <w:jc w:val="both"/>
    </w:pPr>
    <w:rPr>
      <w:rFonts w:ascii="Perpetua Std" w:eastAsia="MS Mincho" w:hAnsi="Perpetua Std"/>
      <w:color w:val="000000"/>
    </w:rPr>
  </w:style>
  <w:style w:type="table" w:styleId="TableGrid">
    <w:name w:val="Table Grid"/>
    <w:basedOn w:val="TableNormal"/>
    <w:rsid w:val="006B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6B2745"/>
    <w:pPr>
      <w:spacing w:after="240"/>
      <w:jc w:val="center"/>
    </w:pPr>
    <w:rPr>
      <w:rFonts w:ascii="Helvetica LT Std" w:hAnsi="Helvetica LT Std"/>
      <w:b/>
      <w:caps/>
      <w:color w:val="000000"/>
      <w:sz w:val="36"/>
      <w:szCs w:val="32"/>
    </w:rPr>
  </w:style>
  <w:style w:type="paragraph" w:customStyle="1" w:styleId="HB">
    <w:name w:val="HB"/>
    <w:rsid w:val="006B2745"/>
    <w:pPr>
      <w:spacing w:before="120" w:after="240"/>
      <w:jc w:val="center"/>
    </w:pPr>
    <w:rPr>
      <w:rFonts w:ascii="Helvetica LT Std" w:hAnsi="Helvetica LT Std"/>
      <w:b/>
      <w:color w:val="5F5F5F"/>
      <w:w w:val="105"/>
      <w:sz w:val="32"/>
    </w:rPr>
  </w:style>
  <w:style w:type="paragraph" w:customStyle="1" w:styleId="HC">
    <w:name w:val="HC"/>
    <w:autoRedefine/>
    <w:rsid w:val="006B2745"/>
    <w:pPr>
      <w:tabs>
        <w:tab w:val="left" w:pos="284"/>
      </w:tabs>
      <w:spacing w:before="120" w:after="120"/>
      <w:jc w:val="center"/>
    </w:pPr>
    <w:rPr>
      <w:rFonts w:ascii="Helvetica LT Std" w:hAnsi="Helvetica LT Std"/>
      <w:b/>
      <w:color w:val="000000"/>
      <w:w w:val="110"/>
      <w:sz w:val="26"/>
    </w:rPr>
  </w:style>
  <w:style w:type="paragraph" w:customStyle="1" w:styleId="PR">
    <w:name w:val="PR"/>
    <w:rsid w:val="006B2745"/>
    <w:pPr>
      <w:spacing w:after="240"/>
      <w:ind w:left="360" w:firstLine="288"/>
      <w:jc w:val="both"/>
    </w:pPr>
    <w:rPr>
      <w:rFonts w:ascii="Adobe Caslon Pro" w:hAnsi="Adobe Caslon Pro"/>
      <w:color w:val="000000"/>
      <w:sz w:val="14"/>
    </w:rPr>
  </w:style>
  <w:style w:type="paragraph" w:customStyle="1" w:styleId="PO">
    <w:name w:val="PO"/>
    <w:rsid w:val="006B2745"/>
    <w:pPr>
      <w:spacing w:after="240"/>
      <w:jc w:val="both"/>
    </w:pPr>
    <w:rPr>
      <w:rFonts w:ascii="Perpetua Std" w:hAnsi="Perpetua Std"/>
      <w:color w:val="000000"/>
      <w:w w:val="95"/>
      <w:szCs w:val="16"/>
    </w:rPr>
  </w:style>
  <w:style w:type="paragraph" w:customStyle="1" w:styleId="GUIDEX">
    <w:name w:val="GUIDEX"/>
    <w:rsid w:val="006B2745"/>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6B2745"/>
    <w:pPr>
      <w:tabs>
        <w:tab w:val="clear" w:pos="240"/>
        <w:tab w:val="clear" w:pos="480"/>
        <w:tab w:val="clear" w:pos="720"/>
        <w:tab w:val="right" w:pos="4680"/>
      </w:tabs>
    </w:pPr>
  </w:style>
  <w:style w:type="paragraph" w:customStyle="1" w:styleId="PCB">
    <w:name w:val="PCB"/>
    <w:autoRedefine/>
    <w:rsid w:val="006B2745"/>
    <w:pPr>
      <w:numPr>
        <w:numId w:val="13"/>
      </w:numPr>
      <w:tabs>
        <w:tab w:val="left" w:pos="720"/>
      </w:tabs>
      <w:spacing w:after="240"/>
      <w:ind w:left="720"/>
      <w:jc w:val="both"/>
    </w:pPr>
    <w:rPr>
      <w:rFonts w:ascii="Perpetua Std" w:hAnsi="Perpetua Std"/>
      <w:color w:val="000000"/>
      <w:sz w:val="24"/>
    </w:rPr>
  </w:style>
  <w:style w:type="paragraph" w:customStyle="1" w:styleId="PFB">
    <w:name w:val="PFB"/>
    <w:autoRedefine/>
    <w:rsid w:val="006B2745"/>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6B2745"/>
    <w:rPr>
      <w:rFonts w:ascii="Perpetua Std" w:hAnsi="Perpetua Std"/>
    </w:rPr>
  </w:style>
  <w:style w:type="paragraph" w:styleId="NoSpacing">
    <w:name w:val="No Spacing"/>
    <w:qFormat/>
    <w:rsid w:val="006B2745"/>
    <w:rPr>
      <w:rFonts w:ascii="Perpetua" w:hAnsi="Perpetua"/>
    </w:rPr>
  </w:style>
  <w:style w:type="paragraph" w:customStyle="1" w:styleId="PCA">
    <w:name w:val="PCA"/>
    <w:rsid w:val="006B2745"/>
    <w:pPr>
      <w:numPr>
        <w:numId w:val="16"/>
      </w:numPr>
      <w:tabs>
        <w:tab w:val="left" w:pos="720"/>
      </w:tabs>
      <w:spacing w:after="240"/>
      <w:jc w:val="both"/>
    </w:pPr>
    <w:rPr>
      <w:rFonts w:ascii="Perpetua Std" w:hAnsi="Perpetua Std"/>
      <w:sz w:val="24"/>
    </w:rPr>
  </w:style>
  <w:style w:type="paragraph" w:customStyle="1" w:styleId="PHB">
    <w:name w:val="PHB"/>
    <w:rsid w:val="006B2745"/>
    <w:pPr>
      <w:numPr>
        <w:numId w:val="17"/>
      </w:numPr>
      <w:tabs>
        <w:tab w:val="left" w:pos="360"/>
      </w:tabs>
      <w:spacing w:after="240"/>
      <w:jc w:val="both"/>
    </w:pPr>
    <w:rPr>
      <w:rFonts w:ascii="Perpetua Std" w:hAnsi="Perpetua Std"/>
      <w:sz w:val="24"/>
    </w:rPr>
  </w:style>
  <w:style w:type="character" w:customStyle="1" w:styleId="IndexChar">
    <w:name w:val="Index Char"/>
    <w:link w:val="Index"/>
    <w:rsid w:val="006B2745"/>
    <w:rPr>
      <w:rFonts w:ascii="Perpetua Std" w:eastAsia="MS Mincho" w:hAnsi="Perpetua Std"/>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Tax Facts</Template>
  <TotalTime>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8559. What is the investment income tax?</vt:lpstr>
    </vt:vector>
  </TitlesOfParts>
  <Company>Summit Business Media</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8559. What is the investment income tax?</dc:title>
  <dc:creator>Alexis Long</dc:creator>
  <cp:lastModifiedBy>rcline</cp:lastModifiedBy>
  <cp:revision>2</cp:revision>
  <dcterms:created xsi:type="dcterms:W3CDTF">2014-07-08T19:33:00Z</dcterms:created>
  <dcterms:modified xsi:type="dcterms:W3CDTF">2014-07-08T19:33:00Z</dcterms:modified>
</cp:coreProperties>
</file>