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61" w:rsidRDefault="00314261" w:rsidP="00255005">
      <w:pPr>
        <w:pStyle w:val="PA"/>
      </w:pPr>
    </w:p>
    <w:p w:rsidR="00314261" w:rsidRPr="00314261" w:rsidRDefault="00314261" w:rsidP="00255005">
      <w:pPr>
        <w:pStyle w:val="PA"/>
        <w:rPr>
          <w:b/>
          <w:color w:val="auto"/>
        </w:rPr>
      </w:pPr>
      <w:r w:rsidRPr="00314261">
        <w:rPr>
          <w:b/>
          <w:color w:val="auto"/>
        </w:rPr>
        <w:t xml:space="preserve">8557.  </w:t>
      </w:r>
      <w:r w:rsidR="004D7AB7">
        <w:rPr>
          <w:b/>
          <w:color w:val="auto"/>
        </w:rPr>
        <w:t>Is there a limitation to</w:t>
      </w:r>
      <w:r w:rsidR="0046021F">
        <w:rPr>
          <w:b/>
          <w:color w:val="auto"/>
        </w:rPr>
        <w:t xml:space="preserve"> the</w:t>
      </w:r>
      <w:r w:rsidR="004D7AB7">
        <w:rPr>
          <w:b/>
          <w:color w:val="auto"/>
        </w:rPr>
        <w:t xml:space="preserve"> amount of capital losses a taxpayer may deduct in </w:t>
      </w:r>
      <w:r w:rsidRPr="00314261">
        <w:rPr>
          <w:b/>
          <w:color w:val="auto"/>
        </w:rPr>
        <w:t xml:space="preserve">a tax year?  </w:t>
      </w:r>
      <w:r w:rsidR="004D7AB7">
        <w:rPr>
          <w:b/>
          <w:color w:val="auto"/>
        </w:rPr>
        <w:t xml:space="preserve">How are disallowed </w:t>
      </w:r>
      <w:r w:rsidRPr="00314261">
        <w:rPr>
          <w:b/>
          <w:color w:val="auto"/>
        </w:rPr>
        <w:t xml:space="preserve">capital losses </w:t>
      </w:r>
      <w:r w:rsidR="004D7AB7">
        <w:rPr>
          <w:b/>
          <w:color w:val="auto"/>
        </w:rPr>
        <w:t>treated</w:t>
      </w:r>
      <w:r w:rsidRPr="00314261">
        <w:rPr>
          <w:b/>
          <w:color w:val="auto"/>
        </w:rPr>
        <w:t xml:space="preserve">? </w:t>
      </w:r>
    </w:p>
    <w:p w:rsidR="00525224" w:rsidRDefault="004D7AB7" w:rsidP="00255005">
      <w:pPr>
        <w:pStyle w:val="PA"/>
        <w:rPr>
          <w:b/>
        </w:rPr>
      </w:pPr>
      <w:r>
        <w:t>Unlike ordinary losses that are deductible against any type of income (ordinary or capital), capital losses are deductible against capital gains</w:t>
      </w:r>
      <w:r w:rsidR="008B4BC8">
        <w:t xml:space="preserve"> (long and short-term)</w:t>
      </w:r>
      <w:r>
        <w:t xml:space="preserve">.  However, a </w:t>
      </w:r>
      <w:proofErr w:type="spellStart"/>
      <w:r>
        <w:t>n</w:t>
      </w:r>
      <w:r w:rsidR="00525224">
        <w:t>oncorporate</w:t>
      </w:r>
      <w:proofErr w:type="spellEnd"/>
      <w:r w:rsidR="00525224">
        <w:t xml:space="preserve"> taxpayer</w:t>
      </w:r>
      <w:r>
        <w:t xml:space="preserve"> who has capital losses in excess of capital gains is</w:t>
      </w:r>
      <w:r w:rsidR="00525224">
        <w:t xml:space="preserve"> entitled to deduct from ordinary income the lesser of (a) $3,000 ($1,500 for married taxpayers filing separately) or (b) the excess of the taxpayer’s net capital losses over gains.</w:t>
      </w:r>
      <w:r w:rsidR="00525224" w:rsidRPr="0074319B">
        <w:rPr>
          <w:rStyle w:val="FootnoteReference"/>
          <w:color w:val="auto"/>
        </w:rPr>
        <w:footnoteReference w:id="1"/>
      </w:r>
      <w:r w:rsidR="00816BFC">
        <w:t xml:space="preserve"> </w:t>
      </w:r>
      <w:r>
        <w:t>Any nondeductible losses may</w:t>
      </w:r>
      <w:r w:rsidR="0046021F">
        <w:t xml:space="preserve"> be</w:t>
      </w:r>
      <w:bookmarkStart w:id="0" w:name="_GoBack"/>
      <w:bookmarkEnd w:id="0"/>
      <w:r>
        <w:t xml:space="preserve"> carried forward indefinitely to subsequent tax years</w:t>
      </w:r>
      <w:r w:rsidR="00525224">
        <w:t>.</w:t>
      </w:r>
      <w:r w:rsidR="00816BFC">
        <w:t xml:space="preserve"> </w:t>
      </w:r>
      <w:r w:rsidR="00215C3D">
        <w:t>Losses that are carried forward retain their character as either short-term or long-term in future years.</w:t>
      </w:r>
      <w:r w:rsidR="00816BFC">
        <w:t xml:space="preserve"> </w:t>
      </w:r>
    </w:p>
    <w:p w:rsidR="000364AA" w:rsidRPr="00A540B7" w:rsidRDefault="004D7AB7" w:rsidP="00255005">
      <w:pPr>
        <w:pStyle w:val="PA"/>
        <w:rPr>
          <w:b/>
        </w:rPr>
      </w:pPr>
      <w:r>
        <w:t>Conversely, c</w:t>
      </w:r>
      <w:r w:rsidR="00525224">
        <w:t>orporations are only permitted to recognize capital losses to the extent</w:t>
      </w:r>
      <w:r>
        <w:t xml:space="preserve"> of capital gains with no exception</w:t>
      </w:r>
      <w:r w:rsidR="00525224">
        <w:t>.</w:t>
      </w:r>
      <w:r w:rsidR="00525224" w:rsidRPr="0074319B">
        <w:rPr>
          <w:rStyle w:val="FootnoteReference"/>
          <w:color w:val="auto"/>
        </w:rPr>
        <w:footnoteReference w:id="2"/>
      </w:r>
      <w:r w:rsidR="00816BFC">
        <w:t xml:space="preserve"> </w:t>
      </w:r>
      <w:r>
        <w:t xml:space="preserve">However, unlike </w:t>
      </w:r>
      <w:proofErr w:type="spellStart"/>
      <w:r>
        <w:t>noncorporate</w:t>
      </w:r>
      <w:proofErr w:type="spellEnd"/>
      <w:r>
        <w:t xml:space="preserve"> taxpayers who must carry forward nondeductible losses to subsequent tax years, </w:t>
      </w:r>
      <w:r w:rsidR="00A540B7">
        <w:t xml:space="preserve">corporations </w:t>
      </w:r>
      <w:r>
        <w:t xml:space="preserve">may </w:t>
      </w:r>
      <w:r w:rsidR="00A540B7">
        <w:t xml:space="preserve">carry disallowed capital losses </w:t>
      </w:r>
      <w:r w:rsidR="00A540B7">
        <w:rPr>
          <w:i/>
        </w:rPr>
        <w:t>back</w:t>
      </w:r>
      <w:r w:rsidR="00A540B7">
        <w:t xml:space="preserve"> for three tax years (beginning with the earliest of the three)</w:t>
      </w:r>
      <w:r>
        <w:t xml:space="preserve"> with </w:t>
      </w:r>
      <w:r w:rsidR="00A540B7">
        <w:t xml:space="preserve">any remaining </w:t>
      </w:r>
      <w:r>
        <w:t xml:space="preserve">nondeductible </w:t>
      </w:r>
      <w:r w:rsidR="00A540B7">
        <w:t xml:space="preserve">capital losses </w:t>
      </w:r>
      <w:r>
        <w:t>to b</w:t>
      </w:r>
      <w:r w:rsidR="00A540B7">
        <w:t>e carried forward for five successive tax years (beginning with the earliest of the five).</w:t>
      </w:r>
      <w:r w:rsidR="00A540B7" w:rsidRPr="0074319B">
        <w:rPr>
          <w:rStyle w:val="FootnoteReference"/>
          <w:color w:val="auto"/>
        </w:rPr>
        <w:footnoteReference w:id="3"/>
      </w:r>
    </w:p>
    <w:p w:rsidR="00F4296A" w:rsidRDefault="00F4296A" w:rsidP="00255005">
      <w:pPr>
        <w:pStyle w:val="PA"/>
      </w:pPr>
    </w:p>
    <w:sectPr w:rsidR="00F4296A" w:rsidSect="00271A21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10" w:rsidRDefault="00595910" w:rsidP="00F4296A">
      <w:r>
        <w:separator/>
      </w:r>
    </w:p>
  </w:endnote>
  <w:endnote w:type="continuationSeparator" w:id="0">
    <w:p w:rsidR="00595910" w:rsidRDefault="00595910" w:rsidP="00F4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10" w:rsidRDefault="00595910" w:rsidP="00F4296A">
      <w:r>
        <w:separator/>
      </w:r>
    </w:p>
  </w:footnote>
  <w:footnote w:type="continuationSeparator" w:id="0">
    <w:p w:rsidR="00595910" w:rsidRDefault="00595910" w:rsidP="00F4296A">
      <w:r>
        <w:continuationSeparator/>
      </w:r>
    </w:p>
  </w:footnote>
  <w:footnote w:id="1">
    <w:p w:rsidR="003566BE" w:rsidRPr="00816BFC" w:rsidRDefault="003566BE" w:rsidP="0074319B">
      <w:pPr>
        <w:pStyle w:val="PQ"/>
      </w:pPr>
      <w:r w:rsidRPr="00816BFC">
        <w:rPr>
          <w:rStyle w:val="FootnoteReference"/>
          <w:vertAlign w:val="baseline"/>
        </w:rPr>
        <w:footnoteRef/>
      </w:r>
      <w:r w:rsidR="00144D20">
        <w:t>.</w:t>
      </w:r>
      <w:r w:rsidR="00144D20">
        <w:tab/>
      </w:r>
      <w:r w:rsidR="0074319B" w:rsidRPr="00816BFC">
        <w:t xml:space="preserve">IRC Sec. </w:t>
      </w:r>
      <w:proofErr w:type="gramStart"/>
      <w:r w:rsidR="0074319B" w:rsidRPr="00816BFC">
        <w:t>1211(b</w:t>
      </w:r>
      <w:proofErr w:type="gramEnd"/>
      <w:r w:rsidR="0074319B" w:rsidRPr="00816BFC">
        <w:t>).</w:t>
      </w:r>
    </w:p>
  </w:footnote>
  <w:footnote w:id="2">
    <w:p w:rsidR="003566BE" w:rsidRPr="00816BFC" w:rsidRDefault="003566BE" w:rsidP="0074319B">
      <w:pPr>
        <w:pStyle w:val="PQ"/>
      </w:pPr>
      <w:r w:rsidRPr="00816BFC">
        <w:rPr>
          <w:rStyle w:val="FootnoteReference"/>
          <w:vertAlign w:val="baseline"/>
        </w:rPr>
        <w:footnoteRef/>
      </w:r>
      <w:r w:rsidR="00144D20">
        <w:t>.</w:t>
      </w:r>
      <w:r w:rsidR="00144D20">
        <w:tab/>
      </w:r>
      <w:r w:rsidR="0074319B" w:rsidRPr="00816BFC">
        <w:t xml:space="preserve">IRC Sec. </w:t>
      </w:r>
      <w:proofErr w:type="gramStart"/>
      <w:r w:rsidR="0074319B" w:rsidRPr="00816BFC">
        <w:t>1211(a</w:t>
      </w:r>
      <w:proofErr w:type="gramEnd"/>
      <w:r w:rsidR="0074319B" w:rsidRPr="00816BFC">
        <w:t>).</w:t>
      </w:r>
    </w:p>
  </w:footnote>
  <w:footnote w:id="3">
    <w:p w:rsidR="003566BE" w:rsidRPr="00816BFC" w:rsidRDefault="003566BE" w:rsidP="0074319B">
      <w:pPr>
        <w:pStyle w:val="PQ"/>
      </w:pPr>
      <w:r w:rsidRPr="00816BFC">
        <w:rPr>
          <w:rStyle w:val="FootnoteReference"/>
          <w:vertAlign w:val="baseline"/>
        </w:rPr>
        <w:footnoteRef/>
      </w:r>
      <w:r w:rsidR="00144D20">
        <w:t>.</w:t>
      </w:r>
      <w:r w:rsidR="00144D20">
        <w:tab/>
      </w:r>
      <w:r w:rsidR="0074319B" w:rsidRPr="00816BFC">
        <w:t xml:space="preserve">IRC Sec. </w:t>
      </w:r>
      <w:proofErr w:type="gramStart"/>
      <w:r w:rsidR="0074319B" w:rsidRPr="00816BFC">
        <w:t>1212(a</w:t>
      </w:r>
      <w:proofErr w:type="gramEnd"/>
      <w:r w:rsidR="0074319B" w:rsidRPr="00816BFC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64A6A74"/>
    <w:multiLevelType w:val="hybridMultilevel"/>
    <w:tmpl w:val="0002C4EA"/>
    <w:lvl w:ilvl="0" w:tplc="72187FAA">
      <w:start w:val="1"/>
      <w:numFmt w:val="decimal"/>
      <w:lvlText w:val="(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B1E04D0"/>
    <w:multiLevelType w:val="hybridMultilevel"/>
    <w:tmpl w:val="05C238FA"/>
    <w:lvl w:ilvl="0" w:tplc="0BF2A4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084466"/>
    <w:multiLevelType w:val="hybridMultilevel"/>
    <w:tmpl w:val="3404044A"/>
    <w:lvl w:ilvl="0" w:tplc="529A75D0">
      <w:start w:val="4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67"/>
    <w:rsid w:val="000364AA"/>
    <w:rsid w:val="000A22B1"/>
    <w:rsid w:val="000A53C2"/>
    <w:rsid w:val="000C1776"/>
    <w:rsid w:val="000F4FD7"/>
    <w:rsid w:val="001018D5"/>
    <w:rsid w:val="00135C9D"/>
    <w:rsid w:val="001409E2"/>
    <w:rsid w:val="00144D20"/>
    <w:rsid w:val="0016358E"/>
    <w:rsid w:val="00170900"/>
    <w:rsid w:val="001A5E2D"/>
    <w:rsid w:val="001C40E6"/>
    <w:rsid w:val="001D6FAB"/>
    <w:rsid w:val="001E64C8"/>
    <w:rsid w:val="001F52F4"/>
    <w:rsid w:val="001F73A2"/>
    <w:rsid w:val="002119B3"/>
    <w:rsid w:val="00215C3D"/>
    <w:rsid w:val="00255005"/>
    <w:rsid w:val="00271A21"/>
    <w:rsid w:val="002856D1"/>
    <w:rsid w:val="00291B69"/>
    <w:rsid w:val="002D4314"/>
    <w:rsid w:val="002E22EE"/>
    <w:rsid w:val="00307DB9"/>
    <w:rsid w:val="00314261"/>
    <w:rsid w:val="00336C25"/>
    <w:rsid w:val="003566BE"/>
    <w:rsid w:val="00366114"/>
    <w:rsid w:val="00395DA9"/>
    <w:rsid w:val="004120E2"/>
    <w:rsid w:val="00442416"/>
    <w:rsid w:val="00453AA6"/>
    <w:rsid w:val="0046021F"/>
    <w:rsid w:val="00475112"/>
    <w:rsid w:val="00491DE8"/>
    <w:rsid w:val="00493260"/>
    <w:rsid w:val="00494472"/>
    <w:rsid w:val="004B69F3"/>
    <w:rsid w:val="004D5C3E"/>
    <w:rsid w:val="004D7AB7"/>
    <w:rsid w:val="004F216D"/>
    <w:rsid w:val="00523FFD"/>
    <w:rsid w:val="00525224"/>
    <w:rsid w:val="0055012A"/>
    <w:rsid w:val="00595910"/>
    <w:rsid w:val="005963EF"/>
    <w:rsid w:val="005D0931"/>
    <w:rsid w:val="006329CE"/>
    <w:rsid w:val="006370D0"/>
    <w:rsid w:val="006451B3"/>
    <w:rsid w:val="00672E58"/>
    <w:rsid w:val="00672FCA"/>
    <w:rsid w:val="0067311C"/>
    <w:rsid w:val="006767EC"/>
    <w:rsid w:val="006B5C3A"/>
    <w:rsid w:val="006C3F31"/>
    <w:rsid w:val="006D7FA7"/>
    <w:rsid w:val="006F6498"/>
    <w:rsid w:val="00713384"/>
    <w:rsid w:val="00715A46"/>
    <w:rsid w:val="007202C3"/>
    <w:rsid w:val="0074319B"/>
    <w:rsid w:val="00794399"/>
    <w:rsid w:val="007B49AE"/>
    <w:rsid w:val="007B5E18"/>
    <w:rsid w:val="007C495E"/>
    <w:rsid w:val="007D5C29"/>
    <w:rsid w:val="007F0BBA"/>
    <w:rsid w:val="007F4511"/>
    <w:rsid w:val="00816BFC"/>
    <w:rsid w:val="0083397D"/>
    <w:rsid w:val="00835B27"/>
    <w:rsid w:val="00871A99"/>
    <w:rsid w:val="00893227"/>
    <w:rsid w:val="008B16D5"/>
    <w:rsid w:val="008B4BC8"/>
    <w:rsid w:val="008C20FB"/>
    <w:rsid w:val="008D3707"/>
    <w:rsid w:val="008D6FC8"/>
    <w:rsid w:val="0092753D"/>
    <w:rsid w:val="009934EF"/>
    <w:rsid w:val="009C5441"/>
    <w:rsid w:val="009C5F6E"/>
    <w:rsid w:val="00A02AF1"/>
    <w:rsid w:val="00A1572A"/>
    <w:rsid w:val="00A20C49"/>
    <w:rsid w:val="00A53374"/>
    <w:rsid w:val="00A540B7"/>
    <w:rsid w:val="00A82292"/>
    <w:rsid w:val="00A96188"/>
    <w:rsid w:val="00AE4D8A"/>
    <w:rsid w:val="00AF5D01"/>
    <w:rsid w:val="00B31555"/>
    <w:rsid w:val="00B51AD1"/>
    <w:rsid w:val="00B7149F"/>
    <w:rsid w:val="00B86944"/>
    <w:rsid w:val="00BC0EC2"/>
    <w:rsid w:val="00BF0861"/>
    <w:rsid w:val="00BF3D51"/>
    <w:rsid w:val="00C15AB8"/>
    <w:rsid w:val="00C82361"/>
    <w:rsid w:val="00C979CC"/>
    <w:rsid w:val="00CA2508"/>
    <w:rsid w:val="00CD3D7E"/>
    <w:rsid w:val="00CD6002"/>
    <w:rsid w:val="00CF6495"/>
    <w:rsid w:val="00D128C3"/>
    <w:rsid w:val="00D223DC"/>
    <w:rsid w:val="00D243A7"/>
    <w:rsid w:val="00D36C53"/>
    <w:rsid w:val="00D45E0D"/>
    <w:rsid w:val="00D81626"/>
    <w:rsid w:val="00DA7231"/>
    <w:rsid w:val="00DE3662"/>
    <w:rsid w:val="00E03171"/>
    <w:rsid w:val="00E2338A"/>
    <w:rsid w:val="00E25EBE"/>
    <w:rsid w:val="00E728D7"/>
    <w:rsid w:val="00E75664"/>
    <w:rsid w:val="00E853E9"/>
    <w:rsid w:val="00E86B42"/>
    <w:rsid w:val="00E86CF5"/>
    <w:rsid w:val="00EA280B"/>
    <w:rsid w:val="00EB2DA0"/>
    <w:rsid w:val="00EC07A2"/>
    <w:rsid w:val="00EC7AA5"/>
    <w:rsid w:val="00ED55E8"/>
    <w:rsid w:val="00EE44FD"/>
    <w:rsid w:val="00F369C4"/>
    <w:rsid w:val="00F37136"/>
    <w:rsid w:val="00F4296A"/>
    <w:rsid w:val="00F53618"/>
    <w:rsid w:val="00F903A7"/>
    <w:rsid w:val="00F91BB1"/>
    <w:rsid w:val="00FA7F04"/>
    <w:rsid w:val="00FB4B66"/>
    <w:rsid w:val="00FC3367"/>
    <w:rsid w:val="00FD458C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6C3F31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6C3F3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C3F3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6C3F3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6C3F31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6C3F31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6C3F31"/>
    <w:rPr>
      <w:rFonts w:ascii="Perpetua Std" w:hAnsi="Perpetua Std"/>
      <w:color w:val="000000"/>
      <w:sz w:val="24"/>
    </w:rPr>
  </w:style>
  <w:style w:type="paragraph" w:customStyle="1" w:styleId="PB">
    <w:name w:val="PB"/>
    <w:rsid w:val="006C3F31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6C3F31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6C3F31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6C3F31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6C3F31"/>
    <w:rPr>
      <w:vertAlign w:val="superscript"/>
    </w:rPr>
  </w:style>
  <w:style w:type="paragraph" w:customStyle="1" w:styleId="HD">
    <w:name w:val="HD"/>
    <w:rsid w:val="006C3F31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6C3F31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6C3F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6C3F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6C3F31"/>
    <w:pPr>
      <w:spacing w:before="144"/>
      <w:jc w:val="both"/>
    </w:pPr>
    <w:rPr>
      <w:noProof/>
    </w:rPr>
  </w:style>
  <w:style w:type="paragraph" w:customStyle="1" w:styleId="PD">
    <w:name w:val="PD"/>
    <w:rsid w:val="006C3F31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6C3F31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6C3F31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6C3F31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6C3F31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6C3F31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6C3F31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6C3F31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6C3F31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6C3F31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6C3F31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6C3F31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6C3F31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6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6C3F31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6C3F31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6C3F31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6C3F31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6C3F31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6C3F31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6C3F31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6C3F31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6C3F31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6C3F31"/>
    <w:rPr>
      <w:rFonts w:ascii="Perpetua Std" w:hAnsi="Perpetua Std"/>
    </w:rPr>
  </w:style>
  <w:style w:type="paragraph" w:styleId="NoSpacing">
    <w:name w:val="No Spacing"/>
    <w:qFormat/>
    <w:rsid w:val="006C3F31"/>
    <w:rPr>
      <w:rFonts w:ascii="Perpetua" w:hAnsi="Perpetua"/>
    </w:rPr>
  </w:style>
  <w:style w:type="paragraph" w:customStyle="1" w:styleId="PCA">
    <w:name w:val="PCA"/>
    <w:rsid w:val="006C3F31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6C3F31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6C3F31"/>
    <w:rPr>
      <w:rFonts w:ascii="Perpetua Std" w:eastAsia="MS Mincho" w:hAnsi="Perpetua Std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6C3F31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6C3F31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C3F3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6C3F31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6C3F31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6C3F31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F4296A"/>
    <w:rPr>
      <w:rFonts w:ascii="Times New Roman" w:hAnsi="Times New Roman"/>
      <w:szCs w:val="24"/>
    </w:rPr>
  </w:style>
  <w:style w:type="character" w:customStyle="1" w:styleId="FootnoteTextChar">
    <w:name w:val="Footnote Text Char"/>
    <w:link w:val="FootnoteText"/>
    <w:rsid w:val="00F4296A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F4296A"/>
    <w:rPr>
      <w:color w:val="0000FF"/>
      <w:u w:val="single"/>
    </w:rPr>
  </w:style>
  <w:style w:type="character" w:customStyle="1" w:styleId="PAChar">
    <w:name w:val="PA Char"/>
    <w:link w:val="PA"/>
    <w:rsid w:val="006C3F31"/>
    <w:rPr>
      <w:rFonts w:ascii="Perpetua Std" w:hAnsi="Perpetua Std"/>
      <w:color w:val="000000"/>
      <w:sz w:val="24"/>
    </w:rPr>
  </w:style>
  <w:style w:type="paragraph" w:customStyle="1" w:styleId="PB">
    <w:name w:val="PB"/>
    <w:rsid w:val="006C3F31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C">
    <w:name w:val="PC"/>
    <w:rsid w:val="006C3F31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6C3F31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6C3F31"/>
    <w:rPr>
      <w:rFonts w:ascii="Adobe Caslon Pro" w:hAnsi="Adobe Caslon Pro"/>
      <w:color w:val="000000"/>
      <w:sz w:val="14"/>
    </w:rPr>
  </w:style>
  <w:style w:type="character" w:styleId="FootnoteReference">
    <w:name w:val="footnote reference"/>
    <w:rsid w:val="006C3F31"/>
    <w:rPr>
      <w:vertAlign w:val="superscript"/>
    </w:rPr>
  </w:style>
  <w:style w:type="paragraph" w:customStyle="1" w:styleId="HD">
    <w:name w:val="HD"/>
    <w:rsid w:val="006C3F31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6C3F31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styleId="BalloonText">
    <w:name w:val="Balloon Text"/>
    <w:basedOn w:val="Normal"/>
    <w:link w:val="BalloonTextChar"/>
    <w:rsid w:val="00FA7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7F04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835B27"/>
    <w:rPr>
      <w:i/>
      <w:iCs/>
    </w:rPr>
  </w:style>
  <w:style w:type="paragraph" w:styleId="Footer">
    <w:name w:val="footer"/>
    <w:basedOn w:val="Normal"/>
    <w:link w:val="FooterChar"/>
    <w:rsid w:val="006C3F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6944"/>
    <w:rPr>
      <w:rFonts w:ascii="Perpetua Std" w:hAnsi="Perpetua Std"/>
    </w:rPr>
  </w:style>
  <w:style w:type="paragraph" w:styleId="Header">
    <w:name w:val="header"/>
    <w:basedOn w:val="Normal"/>
    <w:link w:val="HeaderChar"/>
    <w:rsid w:val="006C3F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6944"/>
    <w:rPr>
      <w:rFonts w:ascii="Perpetua Std" w:hAnsi="Perpetua Std"/>
    </w:rPr>
  </w:style>
  <w:style w:type="paragraph" w:customStyle="1" w:styleId="Standard">
    <w:name w:val="Standard"/>
    <w:rsid w:val="006C3F31"/>
    <w:pPr>
      <w:spacing w:before="144"/>
      <w:jc w:val="both"/>
    </w:pPr>
    <w:rPr>
      <w:noProof/>
    </w:rPr>
  </w:style>
  <w:style w:type="paragraph" w:customStyle="1" w:styleId="PD">
    <w:name w:val="PD"/>
    <w:rsid w:val="006C3F31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6C3F31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">
    <w:name w:val="PF"/>
    <w:rsid w:val="006C3F31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6C3F31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6C3F31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6C3F31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6C3F31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6C3F31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6C3F31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6C3F31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6C3F31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6C3F31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E">
    <w:name w:val="HE"/>
    <w:rsid w:val="006C3F31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6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">
    <w:name w:val="HA"/>
    <w:autoRedefine/>
    <w:rsid w:val="006C3F31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6C3F31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6C3F31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6C3F31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6C3F31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6C3F31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6C3F31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6C3F31"/>
    <w:pPr>
      <w:numPr>
        <w:numId w:val="10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6C3F31"/>
    <w:pPr>
      <w:numPr>
        <w:numId w:val="12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6C3F31"/>
    <w:rPr>
      <w:rFonts w:ascii="Perpetua Std" w:hAnsi="Perpetua Std"/>
    </w:rPr>
  </w:style>
  <w:style w:type="paragraph" w:styleId="NoSpacing">
    <w:name w:val="No Spacing"/>
    <w:qFormat/>
    <w:rsid w:val="006C3F31"/>
    <w:rPr>
      <w:rFonts w:ascii="Perpetua" w:hAnsi="Perpetua"/>
    </w:rPr>
  </w:style>
  <w:style w:type="paragraph" w:customStyle="1" w:styleId="PCA">
    <w:name w:val="PCA"/>
    <w:rsid w:val="006C3F31"/>
    <w:pPr>
      <w:numPr>
        <w:numId w:val="13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6C3F31"/>
    <w:pPr>
      <w:numPr>
        <w:numId w:val="14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6C3F31"/>
    <w:rPr>
      <w:rFonts w:ascii="Perpetua Std" w:eastAsia="MS Mincho" w:hAnsi="Perpetua Std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8557. What limits apply to a taxpayer’s ability to recognize capital losses in a tax year? What is the result if a taxpayer’s capital losses for a tax year are disallowed?</vt:lpstr>
    </vt:vector>
  </TitlesOfParts>
  <Company>Summit Business Media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8557. What limits apply to a taxpayer’s ability to recognize capital losses in a tax year? What is the result if a taxpayer’s capital losses for a tax year are disallowed?</dc:title>
  <dc:creator>Alexis Long</dc:creator>
  <cp:lastModifiedBy>rcline</cp:lastModifiedBy>
  <cp:revision>2</cp:revision>
  <cp:lastPrinted>2013-08-28T20:59:00Z</cp:lastPrinted>
  <dcterms:created xsi:type="dcterms:W3CDTF">2014-08-21T14:10:00Z</dcterms:created>
  <dcterms:modified xsi:type="dcterms:W3CDTF">2014-08-21T14:10:00Z</dcterms:modified>
</cp:coreProperties>
</file>