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0" w:rsidRPr="007D0B60" w:rsidRDefault="007D0B60" w:rsidP="00B86944">
      <w:pPr>
        <w:pStyle w:val="PA"/>
        <w:rPr>
          <w:b/>
        </w:rPr>
      </w:pPr>
      <w:r w:rsidRPr="007D0B60">
        <w:rPr>
          <w:b/>
        </w:rPr>
        <w:t>8552.  How is a loss realized on a sale between related persons treated for tax purposes?</w:t>
      </w:r>
    </w:p>
    <w:p w:rsidR="00F4296A" w:rsidRDefault="00F4296A" w:rsidP="00B86944">
      <w:pPr>
        <w:pStyle w:val="PA"/>
      </w:pPr>
      <w:r w:rsidRPr="00FF7CFA">
        <w:t xml:space="preserve">If an individual sells property at a loss to a related person (as defined below), that loss </w:t>
      </w:r>
      <w:r w:rsidR="00B42E4C">
        <w:t xml:space="preserve">is disallowed and </w:t>
      </w:r>
      <w:r w:rsidRPr="00FF7CFA">
        <w:t xml:space="preserve">may </w:t>
      </w:r>
      <w:r w:rsidRPr="00FF7CFA">
        <w:rPr>
          <w:i/>
          <w:iCs/>
        </w:rPr>
        <w:t>not</w:t>
      </w:r>
      <w:r w:rsidRPr="00FF7CFA">
        <w:t xml:space="preserve"> be used to offset capital gains for income tax purposes.</w:t>
      </w:r>
      <w:r w:rsidRPr="0074319B">
        <w:rPr>
          <w:vertAlign w:val="superscript"/>
        </w:rPr>
        <w:footnoteReference w:id="1"/>
      </w:r>
      <w:r w:rsidRPr="00FF7CFA">
        <w:t xml:space="preserve"> It makes no difference that the sale was a bona fide, arm’s-length transaction.</w:t>
      </w:r>
      <w:r w:rsidRPr="0074319B">
        <w:rPr>
          <w:vertAlign w:val="superscript"/>
        </w:rPr>
        <w:footnoteReference w:id="2"/>
      </w:r>
      <w:r w:rsidRPr="00FF7CFA">
        <w:t xml:space="preserve"> Neither does it matter that the sale was made indirectly through an unrelated middleman.</w:t>
      </w:r>
      <w:r w:rsidRPr="0074319B">
        <w:rPr>
          <w:vertAlign w:val="superscript"/>
        </w:rPr>
        <w:footnoteReference w:id="3"/>
      </w:r>
      <w:r w:rsidRPr="00FF7CFA">
        <w:t xml:space="preserve"> The loss on the sale of stock will be disallowed even though the sale and purchase are made separately on a stock exchange and the stock certificates received are not the certificates sold.</w:t>
      </w:r>
      <w:r w:rsidRPr="0074319B">
        <w:rPr>
          <w:vertAlign w:val="superscript"/>
        </w:rPr>
        <w:footnoteReference w:id="4"/>
      </w:r>
      <w:r w:rsidRPr="00FF7CFA">
        <w:t xml:space="preserve"> However, these rules will not apply to any loss of the distributing corporation (or the distributee) in the case of a distribution in complete liquidation.</w:t>
      </w:r>
      <w:r w:rsidRPr="0074319B">
        <w:rPr>
          <w:vertAlign w:val="superscript"/>
        </w:rPr>
        <w:footnoteReference w:id="5"/>
      </w:r>
    </w:p>
    <w:p w:rsidR="00F4296A" w:rsidRDefault="00F4296A" w:rsidP="00B86944">
      <w:pPr>
        <w:pStyle w:val="PA"/>
      </w:pPr>
      <w:r w:rsidRPr="00FF7CFA">
        <w:t>A loss realized on the exchange of properties between related persons will also be disallowed under these rules.</w:t>
      </w:r>
      <w:r w:rsidRPr="0074319B">
        <w:rPr>
          <w:vertAlign w:val="superscript"/>
        </w:rPr>
        <w:footnoteReference w:id="6"/>
      </w:r>
      <w:r w:rsidRPr="00FF7CFA">
        <w:t xml:space="preserve"> </w:t>
      </w:r>
    </w:p>
    <w:p w:rsidR="00EC07A2" w:rsidRDefault="00B31555" w:rsidP="00B86944">
      <w:pPr>
        <w:pStyle w:val="PA"/>
      </w:pPr>
      <w:r>
        <w:t>“Related persons” for this purpose includes the following</w:t>
      </w:r>
      <w:r w:rsidR="00F4296A" w:rsidRPr="00FF7CFA">
        <w:t xml:space="preserve">: </w:t>
      </w:r>
    </w:p>
    <w:p w:rsidR="00B86944" w:rsidRDefault="00F4296A" w:rsidP="00B86944">
      <w:pPr>
        <w:pStyle w:val="PC"/>
      </w:pPr>
      <w:r w:rsidRPr="00FF7CFA">
        <w:t>(1)</w:t>
      </w:r>
      <w:r w:rsidR="00B86944">
        <w:tab/>
      </w:r>
      <w:proofErr w:type="gramStart"/>
      <w:r w:rsidRPr="00FF7CFA">
        <w:t>members</w:t>
      </w:r>
      <w:proofErr w:type="gramEnd"/>
      <w:r w:rsidRPr="00FF7CFA">
        <w:t xml:space="preserve"> of the same family (i.e., brothers, sisters, spouses, ancestors</w:t>
      </w:r>
      <w:r>
        <w:t>,</w:t>
      </w:r>
      <w:r w:rsidRPr="00FF7CFA">
        <w:t xml:space="preserve"> and lineal descendants </w:t>
      </w:r>
      <w:r w:rsidR="00343F31">
        <w:t>(</w:t>
      </w:r>
      <w:r w:rsidRPr="00FF7CFA">
        <w:t>but not if they are in-laws</w:t>
      </w:r>
      <w:r w:rsidR="00343F31">
        <w:t>)</w:t>
      </w:r>
      <w:r>
        <w:t>)</w:t>
      </w:r>
      <w:r w:rsidRPr="00FF7CFA">
        <w:t>;</w:t>
      </w:r>
      <w:r w:rsidRPr="0074319B">
        <w:rPr>
          <w:vertAlign w:val="superscript"/>
        </w:rPr>
        <w:footnoteReference w:id="7"/>
      </w:r>
      <w:r w:rsidRPr="00FF7CFA">
        <w:t xml:space="preserve">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(2)</w:t>
      </w:r>
      <w:r w:rsidR="00B86944">
        <w:rPr>
          <w:szCs w:val="24"/>
        </w:rPr>
        <w:tab/>
      </w:r>
      <w:proofErr w:type="gramStart"/>
      <w:r w:rsidRPr="00FF7CFA">
        <w:rPr>
          <w:szCs w:val="24"/>
        </w:rPr>
        <w:t>an</w:t>
      </w:r>
      <w:proofErr w:type="gramEnd"/>
      <w:r w:rsidRPr="00FF7CFA">
        <w:rPr>
          <w:szCs w:val="24"/>
        </w:rPr>
        <w:t xml:space="preserve"> individual and a corporation of which the individual actually or constructively owns more than 50</w:t>
      </w:r>
      <w:r w:rsidR="00343F31">
        <w:rPr>
          <w:szCs w:val="24"/>
        </w:rPr>
        <w:t xml:space="preserve"> percent</w:t>
      </w:r>
      <w:r w:rsidRPr="00FF7CFA">
        <w:rPr>
          <w:szCs w:val="24"/>
        </w:rPr>
        <w:t xml:space="preserve"> of the stock; </w:t>
      </w:r>
    </w:p>
    <w:p w:rsidR="00B42E4C" w:rsidRPr="00B42E4C" w:rsidRDefault="00B42E4C" w:rsidP="00643D12">
      <w:pPr>
        <w:pStyle w:val="PC"/>
        <w:tabs>
          <w:tab w:val="clear" w:pos="720"/>
          <w:tab w:val="left" w:pos="360"/>
        </w:tabs>
        <w:ind w:left="0" w:firstLine="450"/>
        <w:rPr>
          <w:szCs w:val="24"/>
        </w:rPr>
      </w:pPr>
      <w:r>
        <w:rPr>
          <w:i/>
          <w:szCs w:val="24"/>
        </w:rPr>
        <w:t>Example</w:t>
      </w:r>
      <w:r>
        <w:rPr>
          <w:szCs w:val="24"/>
        </w:rPr>
        <w:t xml:space="preserve">: </w:t>
      </w:r>
      <w:r w:rsidR="000178F4">
        <w:rPr>
          <w:szCs w:val="24"/>
        </w:rPr>
        <w:t xml:space="preserve"> Amy</w:t>
      </w:r>
      <w:r>
        <w:rPr>
          <w:szCs w:val="24"/>
        </w:rPr>
        <w:t xml:space="preserve"> owns a parcel of land with a fair</w:t>
      </w:r>
      <w:r w:rsidR="000178F4">
        <w:rPr>
          <w:szCs w:val="24"/>
        </w:rPr>
        <w:t xml:space="preserve"> market value of $50,000.  Amy</w:t>
      </w:r>
      <w:r>
        <w:rPr>
          <w:szCs w:val="24"/>
        </w:rPr>
        <w:t>’s basis</w:t>
      </w:r>
      <w:r w:rsidR="000178F4">
        <w:rPr>
          <w:szCs w:val="24"/>
        </w:rPr>
        <w:t xml:space="preserve"> in the land is $100,000.  Amy</w:t>
      </w:r>
      <w:r>
        <w:rPr>
          <w:szCs w:val="24"/>
        </w:rPr>
        <w:t xml:space="preserve"> sells the land to a corporation wholly owned by his brother.  Although Asher owns no stock of the corporation, through t</w:t>
      </w:r>
      <w:r w:rsidR="00041B55">
        <w:rPr>
          <w:szCs w:val="24"/>
        </w:rPr>
        <w:t xml:space="preserve">he attribution rules, a taxpayer </w:t>
      </w:r>
      <w:r>
        <w:rPr>
          <w:szCs w:val="24"/>
        </w:rPr>
        <w:t xml:space="preserve">is deemed to constructively own all the stock owned </w:t>
      </w:r>
      <w:r w:rsidR="00041B55">
        <w:rPr>
          <w:szCs w:val="24"/>
        </w:rPr>
        <w:t>by his brother.</w:t>
      </w:r>
      <w:r w:rsidR="00041B55">
        <w:rPr>
          <w:rStyle w:val="EndnoteReference"/>
          <w:szCs w:val="24"/>
        </w:rPr>
        <w:endnoteReference w:id="1"/>
      </w:r>
      <w:r w:rsidR="00041B55">
        <w:rPr>
          <w:szCs w:val="24"/>
        </w:rPr>
        <w:t xml:space="preserve">  For that reason, the $50,000 loss would be disallowed.</w:t>
      </w:r>
      <w:r>
        <w:rPr>
          <w:szCs w:val="24"/>
        </w:rPr>
        <w:t xml:space="preserve"> </w:t>
      </w:r>
    </w:p>
    <w:p w:rsidR="00041B55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(3)</w:t>
      </w:r>
      <w:r w:rsidR="00B86944">
        <w:rPr>
          <w:szCs w:val="24"/>
        </w:rPr>
        <w:tab/>
      </w:r>
      <w:proofErr w:type="gramStart"/>
      <w:r w:rsidRPr="00FF7CFA">
        <w:rPr>
          <w:szCs w:val="24"/>
        </w:rPr>
        <w:t>a</w:t>
      </w:r>
      <w:proofErr w:type="gramEnd"/>
      <w:r w:rsidRPr="00FF7CFA">
        <w:rPr>
          <w:szCs w:val="24"/>
        </w:rPr>
        <w:t xml:space="preserve"> grantor and a fiduciary of a trust;</w:t>
      </w:r>
    </w:p>
    <w:p w:rsidR="00041B55" w:rsidRDefault="00041B55" w:rsidP="00041B55">
      <w:pPr>
        <w:pStyle w:val="PC"/>
        <w:tabs>
          <w:tab w:val="clear" w:pos="720"/>
          <w:tab w:val="left" w:pos="360"/>
        </w:tabs>
        <w:ind w:left="0" w:firstLine="360"/>
        <w:rPr>
          <w:szCs w:val="24"/>
        </w:rPr>
      </w:pPr>
      <w:r w:rsidRPr="00FF7CFA">
        <w:t>The relationship between a grantor and fiduciary did not prevent recognition of loss on a sale of stock between them where the fiduciary purchased the stock in his individual capacity and where the sale was unrelated to the grantor-fiduciary relationship.</w:t>
      </w:r>
      <w:r w:rsidRPr="0074319B">
        <w:rPr>
          <w:vertAlign w:val="superscript"/>
        </w:rPr>
        <w:footnoteReference w:id="8"/>
      </w:r>
    </w:p>
    <w:p w:rsidR="00B86944" w:rsidRDefault="00F4296A" w:rsidP="00643D12">
      <w:pPr>
        <w:pStyle w:val="PC"/>
        <w:ind w:left="0" w:firstLine="360"/>
        <w:rPr>
          <w:szCs w:val="24"/>
        </w:rPr>
      </w:pPr>
      <w:r w:rsidRPr="00FF7CFA">
        <w:rPr>
          <w:szCs w:val="24"/>
        </w:rPr>
        <w:t>(4)</w:t>
      </w:r>
      <w:r w:rsidR="00B86944">
        <w:rPr>
          <w:szCs w:val="24"/>
        </w:rPr>
        <w:tab/>
      </w:r>
      <w:proofErr w:type="gramStart"/>
      <w:r w:rsidRPr="00FF7CFA">
        <w:rPr>
          <w:szCs w:val="24"/>
        </w:rPr>
        <w:t>fiduciaries</w:t>
      </w:r>
      <w:proofErr w:type="gramEnd"/>
      <w:r w:rsidRPr="00FF7CFA">
        <w:rPr>
          <w:szCs w:val="24"/>
        </w:rPr>
        <w:t xml:space="preserve"> of two trusts if the same person is the grantor of both;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(5)</w:t>
      </w:r>
      <w:r w:rsidR="00B86944">
        <w:rPr>
          <w:szCs w:val="24"/>
        </w:rPr>
        <w:tab/>
      </w:r>
      <w:proofErr w:type="gramStart"/>
      <w:r w:rsidRPr="00FF7CFA">
        <w:rPr>
          <w:szCs w:val="24"/>
        </w:rPr>
        <w:t>a</w:t>
      </w:r>
      <w:proofErr w:type="gramEnd"/>
      <w:r w:rsidRPr="00FF7CFA">
        <w:rPr>
          <w:szCs w:val="24"/>
        </w:rPr>
        <w:t xml:space="preserve"> fiduciary and a beneficiary of the same trust; </w:t>
      </w:r>
    </w:p>
    <w:p w:rsidR="00B86944" w:rsidRDefault="00041B55" w:rsidP="00B86944">
      <w:pPr>
        <w:pStyle w:val="PC"/>
        <w:rPr>
          <w:szCs w:val="24"/>
        </w:rPr>
      </w:pPr>
      <w:r w:rsidDel="00041B55">
        <w:rPr>
          <w:szCs w:val="24"/>
        </w:rPr>
        <w:lastRenderedPageBreak/>
        <w:t xml:space="preserve"> </w:t>
      </w:r>
      <w:r w:rsidR="00F4296A" w:rsidRPr="00FF7CFA">
        <w:rPr>
          <w:szCs w:val="24"/>
        </w:rPr>
        <w:t>(6)</w:t>
      </w:r>
      <w:r>
        <w:rPr>
          <w:szCs w:val="24"/>
        </w:rPr>
        <w:t xml:space="preserve"> </w:t>
      </w:r>
      <w:proofErr w:type="gramStart"/>
      <w:r w:rsidR="00F4296A" w:rsidRPr="00FF7CFA">
        <w:rPr>
          <w:szCs w:val="24"/>
        </w:rPr>
        <w:t>a</w:t>
      </w:r>
      <w:proofErr w:type="gramEnd"/>
      <w:r w:rsidR="00F4296A" w:rsidRPr="00FF7CFA">
        <w:rPr>
          <w:szCs w:val="24"/>
        </w:rPr>
        <w:t xml:space="preserve"> fiduciary of a trust and a beneficiary of another trust set up by the same grantor;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(7)</w:t>
      </w:r>
      <w:r w:rsidR="00B86944">
        <w:rPr>
          <w:szCs w:val="24"/>
        </w:rPr>
        <w:tab/>
      </w:r>
      <w:proofErr w:type="gramStart"/>
      <w:r w:rsidRPr="00FF7CFA">
        <w:rPr>
          <w:szCs w:val="24"/>
        </w:rPr>
        <w:t>a</w:t>
      </w:r>
      <w:proofErr w:type="gramEnd"/>
      <w:r w:rsidRPr="00FF7CFA">
        <w:rPr>
          <w:szCs w:val="24"/>
        </w:rPr>
        <w:t xml:space="preserve"> fiduciary of a trust and a corporation of which the trust or the grantor of the trust actually or constructively owns more than</w:t>
      </w:r>
      <w:r w:rsidR="00B31555">
        <w:rPr>
          <w:szCs w:val="24"/>
        </w:rPr>
        <w:t xml:space="preserve"> 50 percent</w:t>
      </w:r>
      <w:r w:rsidRPr="00FF7CFA">
        <w:rPr>
          <w:szCs w:val="24"/>
        </w:rPr>
        <w:t xml:space="preserve"> of the stock;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(8)</w:t>
      </w:r>
      <w:r w:rsidR="00B86944">
        <w:rPr>
          <w:szCs w:val="24"/>
        </w:rPr>
        <w:tab/>
      </w:r>
      <w:proofErr w:type="gramStart"/>
      <w:r w:rsidRPr="00FF7CFA">
        <w:rPr>
          <w:szCs w:val="24"/>
        </w:rPr>
        <w:t>a</w:t>
      </w:r>
      <w:proofErr w:type="gramEnd"/>
      <w:r w:rsidRPr="00FF7CFA">
        <w:rPr>
          <w:szCs w:val="24"/>
        </w:rPr>
        <w:t xml:space="preserve"> person and an IRC Section 501 tax-exempt organization controlled by the person or members of his family (as described in (1) above);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(9)</w:t>
      </w:r>
      <w:r w:rsidR="00B86944">
        <w:rPr>
          <w:szCs w:val="24"/>
        </w:rPr>
        <w:tab/>
      </w:r>
      <w:r w:rsidRPr="00FF7CFA">
        <w:rPr>
          <w:szCs w:val="24"/>
        </w:rPr>
        <w:t>a corporation and a partnership if the same person actually or constructively owns more than 50</w:t>
      </w:r>
      <w:r>
        <w:rPr>
          <w:szCs w:val="24"/>
        </w:rPr>
        <w:t xml:space="preserve"> percent</w:t>
      </w:r>
      <w:r w:rsidRPr="00FF7CFA">
        <w:rPr>
          <w:szCs w:val="24"/>
        </w:rPr>
        <w:t xml:space="preserve"> of the stock of the corporation, and has more than a 50</w:t>
      </w:r>
      <w:r>
        <w:rPr>
          <w:szCs w:val="24"/>
        </w:rPr>
        <w:t xml:space="preserve"> percent</w:t>
      </w:r>
      <w:r w:rsidRPr="00FF7CFA">
        <w:rPr>
          <w:szCs w:val="24"/>
        </w:rPr>
        <w:t xml:space="preserve"> interest in the partnership;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(10</w:t>
      </w:r>
      <w:proofErr w:type="gramStart"/>
      <w:r w:rsidRPr="00FF7CFA">
        <w:rPr>
          <w:szCs w:val="24"/>
        </w:rPr>
        <w:t>)two</w:t>
      </w:r>
      <w:proofErr w:type="gramEnd"/>
      <w:r w:rsidRPr="00FF7CFA">
        <w:rPr>
          <w:szCs w:val="24"/>
        </w:rPr>
        <w:t xml:space="preserve"> S corporations if the same persons actually or constructively own more than 50</w:t>
      </w:r>
      <w:r>
        <w:rPr>
          <w:szCs w:val="24"/>
        </w:rPr>
        <w:t xml:space="preserve"> percent</w:t>
      </w:r>
      <w:r w:rsidRPr="00FF7CFA">
        <w:rPr>
          <w:szCs w:val="24"/>
        </w:rPr>
        <w:t xml:space="preserve"> of the stock of each;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(11</w:t>
      </w:r>
      <w:proofErr w:type="gramStart"/>
      <w:r w:rsidRPr="00FF7CFA">
        <w:rPr>
          <w:szCs w:val="24"/>
        </w:rPr>
        <w:t>)an</w:t>
      </w:r>
      <w:proofErr w:type="gramEnd"/>
      <w:r w:rsidRPr="00FF7CFA">
        <w:rPr>
          <w:szCs w:val="24"/>
        </w:rPr>
        <w:t xml:space="preserve"> S corporation and a C corporation, if the same persons actually or constructively own more than 50</w:t>
      </w:r>
      <w:r>
        <w:rPr>
          <w:szCs w:val="24"/>
        </w:rPr>
        <w:t xml:space="preserve"> percent</w:t>
      </w:r>
      <w:r w:rsidRPr="00FF7CFA">
        <w:rPr>
          <w:szCs w:val="24"/>
        </w:rPr>
        <w:t xml:space="preserve"> of the stock of each; </w:t>
      </w:r>
    </w:p>
    <w:p w:rsidR="00B86944" w:rsidRDefault="00F4296A" w:rsidP="00B86944">
      <w:pPr>
        <w:pStyle w:val="PC"/>
        <w:rPr>
          <w:szCs w:val="24"/>
        </w:rPr>
      </w:pPr>
      <w:r w:rsidRPr="00FF7CFA">
        <w:rPr>
          <w:szCs w:val="24"/>
        </w:rPr>
        <w:t>(12</w:t>
      </w:r>
      <w:proofErr w:type="gramStart"/>
      <w:r w:rsidRPr="00FF7CFA">
        <w:rPr>
          <w:szCs w:val="24"/>
        </w:rPr>
        <w:t>)generally</w:t>
      </w:r>
      <w:proofErr w:type="gramEnd"/>
      <w:r w:rsidRPr="00FF7CFA">
        <w:rPr>
          <w:szCs w:val="24"/>
        </w:rPr>
        <w:t>, an executor and a beneficiary of an estate</w:t>
      </w:r>
      <w:r>
        <w:rPr>
          <w:szCs w:val="24"/>
        </w:rPr>
        <w:t xml:space="preserve">; or </w:t>
      </w:r>
    </w:p>
    <w:p w:rsidR="00EC07A2" w:rsidRDefault="00F4296A" w:rsidP="00B86944">
      <w:pPr>
        <w:pStyle w:val="PC"/>
        <w:rPr>
          <w:szCs w:val="24"/>
        </w:rPr>
      </w:pPr>
      <w:r>
        <w:rPr>
          <w:szCs w:val="24"/>
        </w:rPr>
        <w:t>(13</w:t>
      </w:r>
      <w:proofErr w:type="gramStart"/>
      <w:r>
        <w:rPr>
          <w:szCs w:val="24"/>
        </w:rPr>
        <w:t>)possibly</w:t>
      </w:r>
      <w:proofErr w:type="gramEnd"/>
      <w:r>
        <w:rPr>
          <w:szCs w:val="24"/>
        </w:rPr>
        <w:t xml:space="preserve"> an individual and</w:t>
      </w:r>
      <w:r w:rsidR="00816BFC">
        <w:rPr>
          <w:szCs w:val="24"/>
        </w:rPr>
        <w:t xml:space="preserve"> </w:t>
      </w:r>
      <w:r w:rsidR="000178F4">
        <w:rPr>
          <w:szCs w:val="24"/>
        </w:rPr>
        <w:t xml:space="preserve">an </w:t>
      </w:r>
      <w:bookmarkStart w:id="0" w:name="_GoBack"/>
      <w:bookmarkEnd w:id="0"/>
      <w:r>
        <w:rPr>
          <w:szCs w:val="24"/>
        </w:rPr>
        <w:t>individual retirement account (IRA)</w:t>
      </w:r>
      <w:r w:rsidRPr="00FF7CFA">
        <w:rPr>
          <w:szCs w:val="24"/>
        </w:rPr>
        <w:t>.</w:t>
      </w:r>
      <w:r w:rsidRPr="0074319B">
        <w:rPr>
          <w:szCs w:val="24"/>
          <w:vertAlign w:val="superscript"/>
        </w:rPr>
        <w:footnoteReference w:id="9"/>
      </w:r>
      <w:r w:rsidRPr="00FF7CFA">
        <w:rPr>
          <w:szCs w:val="24"/>
        </w:rPr>
        <w:t xml:space="preserve"> </w:t>
      </w:r>
    </w:p>
    <w:p w:rsidR="00F4296A" w:rsidRDefault="00F4296A" w:rsidP="00B86944">
      <w:pPr>
        <w:pStyle w:val="PA"/>
      </w:pPr>
      <w:r w:rsidRPr="00FF7CFA">
        <w:t>Special rules apply for purposes of determining constructive ownership of stock.</w:t>
      </w:r>
      <w:r w:rsidRPr="0074319B">
        <w:rPr>
          <w:vertAlign w:val="superscript"/>
        </w:rPr>
        <w:footnoteReference w:id="10"/>
      </w:r>
      <w:r w:rsidRPr="00FF7CFA">
        <w:t xml:space="preserve"> </w:t>
      </w:r>
    </w:p>
    <w:p w:rsidR="00F4296A" w:rsidRDefault="00F4296A" w:rsidP="00255005">
      <w:pPr>
        <w:pStyle w:val="PA"/>
      </w:pPr>
      <w:r w:rsidRPr="00FF7CFA">
        <w:t>Generally, loss will be disallowed on a sale between a partnership and a partner who owns more than a 50</w:t>
      </w:r>
      <w:r>
        <w:t xml:space="preserve"> percent</w:t>
      </w:r>
      <w:r w:rsidRPr="00FF7CFA">
        <w:t xml:space="preserve"> interest, or between two partnerships if the same persons own more than a 50</w:t>
      </w:r>
      <w:r>
        <w:t xml:space="preserve"> percent</w:t>
      </w:r>
      <w:r w:rsidRPr="00FF7CFA">
        <w:t xml:space="preserve"> interest in each.</w:t>
      </w:r>
      <w:r w:rsidRPr="0074319B">
        <w:rPr>
          <w:vertAlign w:val="superscript"/>
        </w:rPr>
        <w:footnoteReference w:id="11"/>
      </w:r>
      <w:r w:rsidRPr="00FF7CFA">
        <w:t xml:space="preserve"> Furthermore, with respect to transactions between two partnerships having one or more common partners </w:t>
      </w:r>
      <w:r w:rsidRPr="00FF7CFA">
        <w:rPr>
          <w:i/>
          <w:iCs/>
        </w:rPr>
        <w:t>or</w:t>
      </w:r>
      <w:r w:rsidRPr="00FF7CFA">
        <w:t xml:space="preserve"> in which one or more of the partners </w:t>
      </w:r>
      <w:r w:rsidR="00643D12">
        <w:t>in each partnership are related</w:t>
      </w:r>
      <w:r w:rsidRPr="00FF7CFA">
        <w:t>, a portion of the loss will be disallowed according to the relative interests of the partners.</w:t>
      </w:r>
      <w:r w:rsidRPr="0074319B">
        <w:rPr>
          <w:vertAlign w:val="superscript"/>
        </w:rPr>
        <w:footnoteReference w:id="12"/>
      </w:r>
      <w:r w:rsidRPr="00FF7CFA">
        <w:t xml:space="preserve"> If the transaction is between a partnership and an individual who is</w:t>
      </w:r>
      <w:r w:rsidR="00643D12">
        <w:t xml:space="preserve"> related to one of the partners</w:t>
      </w:r>
      <w:r w:rsidRPr="00FF7CFA">
        <w:t>, any deductions for losses will be denied with respect to the related partner’s distributive share, but not with respect to the relative shares of each unrelated partner.</w:t>
      </w:r>
      <w:r w:rsidRPr="0074319B">
        <w:rPr>
          <w:vertAlign w:val="superscript"/>
        </w:rPr>
        <w:footnoteReference w:id="13"/>
      </w:r>
      <w:r w:rsidRPr="00FF7CFA">
        <w:t xml:space="preserve"> Loss on a sale or exchange (other than of inventory) between two corporations that are members of the same controlled group (using a 50</w:t>
      </w:r>
      <w:r>
        <w:t xml:space="preserve"> percent</w:t>
      </w:r>
      <w:r w:rsidRPr="00FF7CFA">
        <w:t xml:space="preserve"> test instead of 80</w:t>
      </w:r>
      <w:r>
        <w:t xml:space="preserve"> percent</w:t>
      </w:r>
      <w:r w:rsidRPr="00FF7CFA">
        <w:t>) is generally not denied but is deferred until the property is transferred outside the controlled group.</w:t>
      </w:r>
      <w:r w:rsidRPr="0074319B">
        <w:rPr>
          <w:vertAlign w:val="superscript"/>
        </w:rPr>
        <w:footnoteReference w:id="14"/>
      </w:r>
    </w:p>
    <w:p w:rsidR="00F4296A" w:rsidRDefault="00F4296A" w:rsidP="00255005">
      <w:pPr>
        <w:pStyle w:val="PA"/>
      </w:pPr>
      <w:r w:rsidRPr="00FF7CFA">
        <w:t xml:space="preserve">If the related person to whom property was originally sold (or exchanged), sells or exchanges the same property (or property whose tax basis is determined by reference to </w:t>
      </w:r>
      <w:r w:rsidRPr="00FF7CFA">
        <w:lastRenderedPageBreak/>
        <w:t>such property) at a gain, the gain will be recognized only to the extent it exceeds the loss originally denied by reason of the related parties rules.</w:t>
      </w:r>
      <w:r w:rsidRPr="0074319B">
        <w:rPr>
          <w:vertAlign w:val="superscript"/>
        </w:rPr>
        <w:footnoteReference w:id="15"/>
      </w:r>
    </w:p>
    <w:p w:rsidR="00442416" w:rsidRPr="00FD458C" w:rsidRDefault="00442416" w:rsidP="00255005">
      <w:pPr>
        <w:pStyle w:val="PP"/>
      </w:pPr>
      <w:r w:rsidRPr="00FD458C">
        <w:rPr>
          <w:b/>
        </w:rPr>
        <w:t>Planning Point</w:t>
      </w:r>
      <w:r w:rsidRPr="00FD458C">
        <w:t xml:space="preserve">: If one family member is considering selling a closely held business to another at a loss, there are probably better ways to achieve tax savings than for the seller to give up a tax loss. A related party buyer might pay a little more for a business than a non-related party. The goodwill may be </w:t>
      </w:r>
      <w:r w:rsidR="007F0BBA" w:rsidRPr="00FD458C">
        <w:t>justifiably higher</w:t>
      </w:r>
      <w:r w:rsidRPr="00FD458C">
        <w:t xml:space="preserve"> because of the relationship, the customer base</w:t>
      </w:r>
      <w:r w:rsidR="000F4FD7" w:rsidRPr="00FD458C">
        <w:t xml:space="preserve"> </w:t>
      </w:r>
      <w:r w:rsidR="007F0BBA" w:rsidRPr="00FD458C">
        <w:t>or the</w:t>
      </w:r>
      <w:r w:rsidRPr="00FD458C">
        <w:t xml:space="preserve"> reputation, among other reasons. The seller can realize tax savings through the deal structure; the buyer can realize savings by depreciation and amortization.</w:t>
      </w:r>
    </w:p>
    <w:p w:rsidR="00F4296A" w:rsidRDefault="00F4296A">
      <w:pPr>
        <w:pStyle w:val="PA"/>
      </w:pPr>
    </w:p>
    <w:sectPr w:rsidR="00F4296A" w:rsidSect="00271A21">
      <w:footnotePr>
        <w:numRestart w:val="eachPage"/>
      </w:footnotePr>
      <w:endnotePr>
        <w:numFmt w:val="decimal"/>
        <w:numStart w:val="8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61" w:rsidRDefault="002D4D61" w:rsidP="00F4296A">
      <w:r>
        <w:separator/>
      </w:r>
    </w:p>
  </w:endnote>
  <w:endnote w:type="continuationSeparator" w:id="0">
    <w:p w:rsidR="002D4D61" w:rsidRDefault="002D4D61" w:rsidP="00F4296A">
      <w:r>
        <w:continuationSeparator/>
      </w:r>
    </w:p>
  </w:endnote>
  <w:endnote w:id="1">
    <w:p w:rsidR="00041B55" w:rsidRPr="00643D12" w:rsidRDefault="00041B55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267(c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4).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61" w:rsidRDefault="002D4D61" w:rsidP="00F4296A">
      <w:r>
        <w:separator/>
      </w:r>
    </w:p>
  </w:footnote>
  <w:footnote w:type="continuationSeparator" w:id="0">
    <w:p w:rsidR="002D4D61" w:rsidRDefault="002D4D61" w:rsidP="00F4296A">
      <w:r>
        <w:continuationSeparator/>
      </w:r>
    </w:p>
  </w:footnote>
  <w:footnote w:id="1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IRC Sec. 267(a); Treas. Reg. §1.267(a)-1</w:t>
      </w:r>
      <w:r w:rsidR="0074319B">
        <w:t xml:space="preserve"> and Rev. Rul. 2008-5</w:t>
      </w:r>
      <w:r w:rsidR="00343F31">
        <w:t>, 2008-3 IRB 271</w:t>
      </w:r>
      <w:r w:rsidR="0074319B">
        <w:t>.</w:t>
      </w:r>
    </w:p>
  </w:footnote>
  <w:footnote w:id="2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Treas. Reg. §1.267(a)-1(c).</w:t>
      </w:r>
    </w:p>
  </w:footnote>
  <w:footnote w:id="3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 xml:space="preserve">See </w:t>
      </w:r>
      <w:r w:rsidR="0074319B" w:rsidRPr="00895A69">
        <w:rPr>
          <w:i/>
          <w:iCs/>
        </w:rPr>
        <w:t>Hassen v. Comm.</w:t>
      </w:r>
      <w:r w:rsidR="0074319B" w:rsidRPr="00895A69">
        <w:t>, 599 F.2d 305 (9th Cir. 1979).</w:t>
      </w:r>
    </w:p>
  </w:footnote>
  <w:footnote w:id="4">
    <w:p w:rsidR="003566BE" w:rsidRPr="00895A69" w:rsidRDefault="003566BE" w:rsidP="0074319B">
      <w:pPr>
        <w:pStyle w:val="PQ"/>
      </w:pPr>
      <w:r w:rsidRPr="00816BFC">
        <w:footnoteRef/>
      </w:r>
      <w:r w:rsidR="00144D20">
        <w:rPr>
          <w:iCs/>
        </w:rPr>
        <w:t>.</w:t>
      </w:r>
      <w:r w:rsidR="00144D20">
        <w:rPr>
          <w:iCs/>
        </w:rPr>
        <w:tab/>
      </w:r>
      <w:r w:rsidR="0074319B" w:rsidRPr="00895A69">
        <w:rPr>
          <w:i/>
          <w:iCs/>
        </w:rPr>
        <w:t>McWilliams v. Comm.</w:t>
      </w:r>
      <w:r w:rsidR="0074319B" w:rsidRPr="00895A69">
        <w:t>, 331 U.S. 694 (1947).</w:t>
      </w:r>
    </w:p>
  </w:footnote>
  <w:footnote w:id="5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IRC Sec. 267(a</w:t>
      </w:r>
      <w:proofErr w:type="gramStart"/>
      <w:r w:rsidR="0074319B" w:rsidRPr="00895A69">
        <w:t>)(</w:t>
      </w:r>
      <w:proofErr w:type="gramEnd"/>
      <w:r w:rsidR="0074319B" w:rsidRPr="00895A69">
        <w:t>1).</w:t>
      </w:r>
    </w:p>
  </w:footnote>
  <w:footnote w:id="6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IRC Sec. 267(a</w:t>
      </w:r>
      <w:proofErr w:type="gramStart"/>
      <w:r w:rsidR="0074319B" w:rsidRPr="00895A69">
        <w:t>)(</w:t>
      </w:r>
      <w:proofErr w:type="gramEnd"/>
      <w:r w:rsidR="0074319B" w:rsidRPr="00895A69">
        <w:t>1).</w:t>
      </w:r>
    </w:p>
  </w:footnote>
  <w:footnote w:id="7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See Let. Rul. 9017008.</w:t>
      </w:r>
    </w:p>
  </w:footnote>
  <w:footnote w:id="8">
    <w:p w:rsidR="00041B55" w:rsidRPr="00895A69" w:rsidRDefault="00041B55" w:rsidP="00041B55">
      <w:pPr>
        <w:pStyle w:val="PQ"/>
      </w:pPr>
      <w:r w:rsidRPr="00895A69">
        <w:footnoteRef/>
      </w:r>
      <w:r>
        <w:t>.</w:t>
      </w:r>
      <w:r>
        <w:tab/>
      </w:r>
      <w:r w:rsidRPr="00895A69">
        <w:t>Let. Rul. 9017008.</w:t>
      </w:r>
    </w:p>
  </w:footnote>
  <w:footnote w:id="9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IRC Sec. 267(b).</w:t>
      </w:r>
    </w:p>
  </w:footnote>
  <w:footnote w:id="10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See IRC Sec. 267(c).</w:t>
      </w:r>
    </w:p>
  </w:footnote>
  <w:footnote w:id="11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IRC Sec. 707(b).</w:t>
      </w:r>
    </w:p>
  </w:footnote>
  <w:footnote w:id="12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Temp. Treas. Reg. §1.267(a)-2T(c), A-2.</w:t>
      </w:r>
    </w:p>
  </w:footnote>
  <w:footnote w:id="13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Treas. Reg. §1.267(b)-1(b).</w:t>
      </w:r>
    </w:p>
  </w:footnote>
  <w:footnote w:id="14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>IRC Sec. 267(f).</w:t>
      </w:r>
    </w:p>
  </w:footnote>
  <w:footnote w:id="15">
    <w:p w:rsidR="003566BE" w:rsidRPr="00895A69" w:rsidRDefault="003566BE" w:rsidP="0074319B">
      <w:pPr>
        <w:pStyle w:val="PQ"/>
      </w:pPr>
      <w:r w:rsidRPr="00895A69">
        <w:footnoteRef/>
      </w:r>
      <w:r w:rsidR="00144D20">
        <w:t>.</w:t>
      </w:r>
      <w:r w:rsidR="00144D20">
        <w:tab/>
      </w:r>
      <w:r w:rsidR="0074319B" w:rsidRPr="00895A69">
        <w:t xml:space="preserve">IRC Sec. </w:t>
      </w:r>
      <w:proofErr w:type="gramStart"/>
      <w:r w:rsidR="0074319B" w:rsidRPr="00895A69">
        <w:t>267(d</w:t>
      </w:r>
      <w:proofErr w:type="gramEnd"/>
      <w:r w:rsidR="0074319B" w:rsidRPr="00895A69">
        <w:t>); Treas. Reg. §1.267(d)-1.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numStart w:val="8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178F4"/>
    <w:rsid w:val="000364AA"/>
    <w:rsid w:val="00041B55"/>
    <w:rsid w:val="000A22B1"/>
    <w:rsid w:val="000A53C2"/>
    <w:rsid w:val="000C1776"/>
    <w:rsid w:val="000F4FD7"/>
    <w:rsid w:val="001018D5"/>
    <w:rsid w:val="00135C9D"/>
    <w:rsid w:val="001409E2"/>
    <w:rsid w:val="00144D20"/>
    <w:rsid w:val="0016358E"/>
    <w:rsid w:val="00170900"/>
    <w:rsid w:val="001A5E2D"/>
    <w:rsid w:val="001C40E6"/>
    <w:rsid w:val="001E64C8"/>
    <w:rsid w:val="001F52F4"/>
    <w:rsid w:val="001F73A2"/>
    <w:rsid w:val="00215C3D"/>
    <w:rsid w:val="00255005"/>
    <w:rsid w:val="00271A21"/>
    <w:rsid w:val="00292A11"/>
    <w:rsid w:val="002D4314"/>
    <w:rsid w:val="002D4D61"/>
    <w:rsid w:val="002E22EE"/>
    <w:rsid w:val="00307DB9"/>
    <w:rsid w:val="00343F31"/>
    <w:rsid w:val="003566BE"/>
    <w:rsid w:val="00366114"/>
    <w:rsid w:val="003C1BD2"/>
    <w:rsid w:val="004120E2"/>
    <w:rsid w:val="00442416"/>
    <w:rsid w:val="00453AA6"/>
    <w:rsid w:val="0047438C"/>
    <w:rsid w:val="00475112"/>
    <w:rsid w:val="00491DE8"/>
    <w:rsid w:val="00494472"/>
    <w:rsid w:val="004B69F3"/>
    <w:rsid w:val="004D5C3E"/>
    <w:rsid w:val="004F216D"/>
    <w:rsid w:val="004F4761"/>
    <w:rsid w:val="00502D16"/>
    <w:rsid w:val="00523FFD"/>
    <w:rsid w:val="00525224"/>
    <w:rsid w:val="0055012A"/>
    <w:rsid w:val="005963EF"/>
    <w:rsid w:val="005B05C4"/>
    <w:rsid w:val="005B6C32"/>
    <w:rsid w:val="005D0931"/>
    <w:rsid w:val="006370D0"/>
    <w:rsid w:val="00643D12"/>
    <w:rsid w:val="006451B3"/>
    <w:rsid w:val="00672FCA"/>
    <w:rsid w:val="0067311C"/>
    <w:rsid w:val="00676759"/>
    <w:rsid w:val="006767EC"/>
    <w:rsid w:val="006D7FA7"/>
    <w:rsid w:val="006F6498"/>
    <w:rsid w:val="00713384"/>
    <w:rsid w:val="00715A46"/>
    <w:rsid w:val="007202C3"/>
    <w:rsid w:val="0074319B"/>
    <w:rsid w:val="00786DEF"/>
    <w:rsid w:val="007B49AE"/>
    <w:rsid w:val="007B5E18"/>
    <w:rsid w:val="007C495E"/>
    <w:rsid w:val="007D0B60"/>
    <w:rsid w:val="007D5C29"/>
    <w:rsid w:val="007F0BBA"/>
    <w:rsid w:val="007F4511"/>
    <w:rsid w:val="00816BFC"/>
    <w:rsid w:val="0083397D"/>
    <w:rsid w:val="00835B27"/>
    <w:rsid w:val="00871A99"/>
    <w:rsid w:val="00893227"/>
    <w:rsid w:val="008B16D5"/>
    <w:rsid w:val="008C20FB"/>
    <w:rsid w:val="008D3707"/>
    <w:rsid w:val="008D6FC8"/>
    <w:rsid w:val="0092217C"/>
    <w:rsid w:val="0092753D"/>
    <w:rsid w:val="009305B6"/>
    <w:rsid w:val="009934EF"/>
    <w:rsid w:val="009C5F6E"/>
    <w:rsid w:val="00A02AF1"/>
    <w:rsid w:val="00A1572A"/>
    <w:rsid w:val="00A20C49"/>
    <w:rsid w:val="00A53374"/>
    <w:rsid w:val="00A540B7"/>
    <w:rsid w:val="00A96188"/>
    <w:rsid w:val="00AE4D8A"/>
    <w:rsid w:val="00AF5D01"/>
    <w:rsid w:val="00B07471"/>
    <w:rsid w:val="00B31555"/>
    <w:rsid w:val="00B42E4C"/>
    <w:rsid w:val="00B7149F"/>
    <w:rsid w:val="00B86944"/>
    <w:rsid w:val="00BC0EC2"/>
    <w:rsid w:val="00BF3D51"/>
    <w:rsid w:val="00C15AB8"/>
    <w:rsid w:val="00C82361"/>
    <w:rsid w:val="00C979CC"/>
    <w:rsid w:val="00CA2508"/>
    <w:rsid w:val="00CD3D7E"/>
    <w:rsid w:val="00CD6002"/>
    <w:rsid w:val="00CE361B"/>
    <w:rsid w:val="00CF6495"/>
    <w:rsid w:val="00D128C3"/>
    <w:rsid w:val="00D223DC"/>
    <w:rsid w:val="00D243A7"/>
    <w:rsid w:val="00D36C53"/>
    <w:rsid w:val="00D45E0D"/>
    <w:rsid w:val="00D81626"/>
    <w:rsid w:val="00D92131"/>
    <w:rsid w:val="00DA7231"/>
    <w:rsid w:val="00DE3662"/>
    <w:rsid w:val="00E03171"/>
    <w:rsid w:val="00E25EBE"/>
    <w:rsid w:val="00E728D7"/>
    <w:rsid w:val="00E853E9"/>
    <w:rsid w:val="00E86B42"/>
    <w:rsid w:val="00E86CF5"/>
    <w:rsid w:val="00EA280B"/>
    <w:rsid w:val="00EC07A2"/>
    <w:rsid w:val="00EC7AA5"/>
    <w:rsid w:val="00ED55E8"/>
    <w:rsid w:val="00EE44FD"/>
    <w:rsid w:val="00F369C4"/>
    <w:rsid w:val="00F37136"/>
    <w:rsid w:val="00F4296A"/>
    <w:rsid w:val="00F53618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F4761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F476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476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F476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F4761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F4761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4F4761"/>
    <w:rPr>
      <w:rFonts w:ascii="Perpetua Std" w:hAnsi="Perpetua Std"/>
      <w:color w:val="000000"/>
      <w:sz w:val="24"/>
    </w:rPr>
  </w:style>
  <w:style w:type="paragraph" w:customStyle="1" w:styleId="PB">
    <w:name w:val="PB"/>
    <w:rsid w:val="004F4761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4F4761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F4761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F4761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4F4761"/>
    <w:rPr>
      <w:vertAlign w:val="superscript"/>
    </w:rPr>
  </w:style>
  <w:style w:type="paragraph" w:customStyle="1" w:styleId="HD">
    <w:name w:val="HD"/>
    <w:rsid w:val="004F4761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F4761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4F47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4F47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4F4761"/>
    <w:pPr>
      <w:spacing w:before="144"/>
      <w:jc w:val="both"/>
    </w:pPr>
    <w:rPr>
      <w:noProof/>
    </w:rPr>
  </w:style>
  <w:style w:type="paragraph" w:customStyle="1" w:styleId="PD">
    <w:name w:val="PD"/>
    <w:rsid w:val="004F4761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F4761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4F4761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F4761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F4761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F4761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F4761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F4761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F4761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F4761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F4761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F4761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4F4761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F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4F4761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F4761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F4761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F4761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F4761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F4761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F4761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F4761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F4761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F4761"/>
    <w:rPr>
      <w:rFonts w:ascii="Perpetua Std" w:hAnsi="Perpetua Std"/>
    </w:rPr>
  </w:style>
  <w:style w:type="paragraph" w:styleId="NoSpacing">
    <w:name w:val="No Spacing"/>
    <w:qFormat/>
    <w:rsid w:val="004F4761"/>
    <w:rPr>
      <w:rFonts w:ascii="Perpetua" w:hAnsi="Perpetua"/>
    </w:rPr>
  </w:style>
  <w:style w:type="paragraph" w:customStyle="1" w:styleId="PCA">
    <w:name w:val="PCA"/>
    <w:rsid w:val="004F4761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F4761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F4761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041B55"/>
  </w:style>
  <w:style w:type="character" w:customStyle="1" w:styleId="EndnoteTextChar">
    <w:name w:val="Endnote Text Char"/>
    <w:basedOn w:val="DefaultParagraphFont"/>
    <w:link w:val="EndnoteText"/>
    <w:semiHidden/>
    <w:rsid w:val="00041B55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041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F4761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F476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476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F476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F4761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F4761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4F4761"/>
    <w:rPr>
      <w:rFonts w:ascii="Perpetua Std" w:hAnsi="Perpetua Std"/>
      <w:color w:val="000000"/>
      <w:sz w:val="24"/>
    </w:rPr>
  </w:style>
  <w:style w:type="paragraph" w:customStyle="1" w:styleId="PB">
    <w:name w:val="PB"/>
    <w:rsid w:val="004F4761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4F4761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F4761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F4761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4F4761"/>
    <w:rPr>
      <w:vertAlign w:val="superscript"/>
    </w:rPr>
  </w:style>
  <w:style w:type="paragraph" w:customStyle="1" w:styleId="HD">
    <w:name w:val="HD"/>
    <w:rsid w:val="004F4761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F4761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4F47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4F47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4F4761"/>
    <w:pPr>
      <w:spacing w:before="144"/>
      <w:jc w:val="both"/>
    </w:pPr>
    <w:rPr>
      <w:noProof/>
    </w:rPr>
  </w:style>
  <w:style w:type="paragraph" w:customStyle="1" w:styleId="PD">
    <w:name w:val="PD"/>
    <w:rsid w:val="004F4761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F4761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4F4761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F4761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F4761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F4761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F4761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F4761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F4761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F4761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F4761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F4761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4F4761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F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4F4761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F4761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F4761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F4761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F4761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F4761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F4761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F4761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F4761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F4761"/>
    <w:rPr>
      <w:rFonts w:ascii="Perpetua Std" w:hAnsi="Perpetua Std"/>
    </w:rPr>
  </w:style>
  <w:style w:type="paragraph" w:styleId="NoSpacing">
    <w:name w:val="No Spacing"/>
    <w:qFormat/>
    <w:rsid w:val="004F4761"/>
    <w:rPr>
      <w:rFonts w:ascii="Perpetua" w:hAnsi="Perpetua"/>
    </w:rPr>
  </w:style>
  <w:style w:type="paragraph" w:customStyle="1" w:styleId="PCA">
    <w:name w:val="PCA"/>
    <w:rsid w:val="004F4761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F4761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F4761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041B55"/>
  </w:style>
  <w:style w:type="character" w:customStyle="1" w:styleId="EndnoteTextChar">
    <w:name w:val="Endnote Text Char"/>
    <w:basedOn w:val="DefaultParagraphFont"/>
    <w:link w:val="EndnoteText"/>
    <w:semiHidden/>
    <w:rsid w:val="00041B55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04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6BA0-BB92-4AB1-B00C-5FFCEB3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8552. How is a loss realized on a sale between related persons treated for tax purposes?</vt:lpstr>
    </vt:vector>
  </TitlesOfParts>
  <Company>Summit Business Media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8552. How is a loss realized on a sale between related persons treated for tax purposes?</dc:title>
  <dc:creator>Alexis Long</dc:creator>
  <cp:lastModifiedBy>rcline</cp:lastModifiedBy>
  <cp:revision>2</cp:revision>
  <cp:lastPrinted>2013-08-28T20:59:00Z</cp:lastPrinted>
  <dcterms:created xsi:type="dcterms:W3CDTF">2014-08-21T14:02:00Z</dcterms:created>
  <dcterms:modified xsi:type="dcterms:W3CDTF">2014-08-21T14:02:00Z</dcterms:modified>
</cp:coreProperties>
</file>