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DF" w:rsidRDefault="00BA65DF" w:rsidP="00D46D21">
      <w:pPr>
        <w:pStyle w:val="PA"/>
        <w:ind w:firstLine="0"/>
        <w:rPr>
          <w:b/>
        </w:rPr>
      </w:pPr>
      <w:bookmarkStart w:id="0" w:name="_GoBack"/>
      <w:bookmarkEnd w:id="0"/>
    </w:p>
    <w:p w:rsidR="00BA65DF" w:rsidRDefault="00BA65DF" w:rsidP="00D46D21">
      <w:pPr>
        <w:pStyle w:val="PA"/>
        <w:ind w:firstLine="0"/>
        <w:rPr>
          <w:b/>
        </w:rPr>
      </w:pPr>
    </w:p>
    <w:p w:rsidR="002A027F" w:rsidRDefault="002A027F" w:rsidP="00D46D21">
      <w:pPr>
        <w:pStyle w:val="PA"/>
        <w:ind w:firstLine="0"/>
        <w:rPr>
          <w:b/>
        </w:rPr>
      </w:pPr>
      <w:r>
        <w:rPr>
          <w:b/>
        </w:rPr>
        <w:t>8548</w:t>
      </w:r>
      <w:r w:rsidR="00036D83">
        <w:rPr>
          <w:b/>
        </w:rPr>
        <w:t>. What</w:t>
      </w:r>
      <w:r>
        <w:rPr>
          <w:b/>
        </w:rPr>
        <w:t xml:space="preserve"> is “tax basis” and how is it used in determining the amount of a taxpayer’s capital gain or loss?</w:t>
      </w:r>
    </w:p>
    <w:p w:rsidR="00A76E2C" w:rsidRDefault="00EB53DF" w:rsidP="00B86944">
      <w:pPr>
        <w:pStyle w:val="PA"/>
      </w:pPr>
      <w:r w:rsidRPr="00B15B1E">
        <w:t xml:space="preserve"> </w:t>
      </w:r>
      <w:r w:rsidR="00F4296A" w:rsidRPr="00B15B1E">
        <w:t xml:space="preserve">“Tax basis” is </w:t>
      </w:r>
      <w:r w:rsidR="00A76E2C">
        <w:t>a taxpayer’s after tax investment in property.  In other words, when a taxpayer acquires property for money, it is presumed to be his or her after tax investment in such property.</w:t>
      </w:r>
      <w:r w:rsidR="00A76E2C">
        <w:rPr>
          <w:rStyle w:val="EndnoteReference"/>
        </w:rPr>
        <w:endnoteReference w:id="1"/>
      </w:r>
      <w:r w:rsidR="00A76E2C">
        <w:t xml:space="preserve">  So when property is sold or exchanged, for purposes of computing gain, the difference between the </w:t>
      </w:r>
      <w:proofErr w:type="gramStart"/>
      <w:r w:rsidR="00A76E2C">
        <w:t>amount</w:t>
      </w:r>
      <w:proofErr w:type="gramEnd"/>
      <w:r w:rsidR="00A76E2C">
        <w:t xml:space="preserve"> received less the taxpayer’s basis in the property is the taxable gain.</w:t>
      </w:r>
      <w:r w:rsidR="00A76E2C">
        <w:rPr>
          <w:rStyle w:val="EndnoteReference"/>
        </w:rPr>
        <w:endnoteReference w:id="2"/>
      </w:r>
      <w:r w:rsidR="00A76E2C">
        <w:t xml:space="preserve">  Similarly, for purposes of computing a loss (meaning the taxpayer received less than its original cost), the difference between the taxpayer’s basis in the property and the amount received is the taxable loss.</w:t>
      </w:r>
      <w:r w:rsidR="00A76E2C">
        <w:rPr>
          <w:rStyle w:val="EndnoteReference"/>
        </w:rPr>
        <w:endnoteReference w:id="3"/>
      </w:r>
    </w:p>
    <w:p w:rsidR="00A76E2C" w:rsidRDefault="00A76E2C" w:rsidP="00B86944">
      <w:pPr>
        <w:pStyle w:val="PA"/>
      </w:pPr>
      <w:r w:rsidRPr="00D3434F">
        <w:rPr>
          <w:i/>
        </w:rPr>
        <w:t>Example</w:t>
      </w:r>
      <w:r>
        <w:rPr>
          <w:i/>
        </w:rPr>
        <w:t>:</w:t>
      </w:r>
      <w:r>
        <w:t xml:space="preserve"> In 2012, Asher purchased Apple stock for $1,000.  In 2014, Asher sold the stock for $1,500.  Asher’s taxable gain is $500, or the difference the amount rece</w:t>
      </w:r>
      <w:r w:rsidR="003A37C8">
        <w:t>ived and his basis in the stock ($1,500 minus $1,000).  Obviously, there would be no tax on the $1,000 received because it would simply be the recovery of Asher’s initial after tax investment in the property, i.e., his basis.</w:t>
      </w:r>
    </w:p>
    <w:p w:rsidR="003A37C8" w:rsidRDefault="00A76E2C" w:rsidP="00B86944">
      <w:pPr>
        <w:pStyle w:val="PA"/>
      </w:pPr>
      <w:r>
        <w:t>In the alternative, if Asher sold the Apple stock for $500, his taxable loss would be $500, or the difference between his basis in the stock (what he paid for it) and what he received</w:t>
      </w:r>
      <w:r w:rsidR="003A37C8">
        <w:t xml:space="preserve"> in the sale ($1,000 minus $500).</w:t>
      </w:r>
      <w:r w:rsidR="00762BE6">
        <w:t xml:space="preserve">  In this case, Asher has a loss because the amount he received is less than what he originally paid.</w:t>
      </w:r>
    </w:p>
    <w:p w:rsidR="002D3EAD" w:rsidRDefault="003A37C8" w:rsidP="00B86944">
      <w:pPr>
        <w:pStyle w:val="PA"/>
      </w:pPr>
      <w:r>
        <w:t>If the taxpayer acquires property other than by purchase, basis is determined pursuant to different rules.  For example, if the taxpayer acquires property from a decedent by inheritance or bequest, the basis in the property is its date of death fair market value.</w:t>
      </w:r>
      <w:r>
        <w:rPr>
          <w:rStyle w:val="EndnoteReference"/>
        </w:rPr>
        <w:endnoteReference w:id="4"/>
      </w:r>
      <w:r>
        <w:t xml:space="preserve">  </w:t>
      </w:r>
    </w:p>
    <w:p w:rsidR="003A37C8" w:rsidRDefault="002D3EAD" w:rsidP="00B86944">
      <w:pPr>
        <w:pStyle w:val="PA"/>
      </w:pPr>
      <w:r>
        <w:t>With respect to the gift of property, the general rule is t</w:t>
      </w:r>
      <w:r w:rsidR="003A37C8">
        <w:t xml:space="preserve">he </w:t>
      </w:r>
      <w:proofErr w:type="spellStart"/>
      <w:r w:rsidR="003A37C8">
        <w:t>done</w:t>
      </w:r>
      <w:r>
        <w:t>e</w:t>
      </w:r>
      <w:proofErr w:type="spellEnd"/>
      <w:r w:rsidR="003A37C8">
        <w:t xml:space="preserve"> taxpayer takes the donor’s basis in the property.</w:t>
      </w:r>
      <w:r w:rsidR="003A37C8">
        <w:rPr>
          <w:rStyle w:val="EndnoteReference"/>
        </w:rPr>
        <w:endnoteReference w:id="5"/>
      </w:r>
    </w:p>
    <w:p w:rsidR="003A37C8" w:rsidRDefault="003A37C8" w:rsidP="00B86944">
      <w:pPr>
        <w:pStyle w:val="PA"/>
      </w:pPr>
      <w:r>
        <w:rPr>
          <w:i/>
        </w:rPr>
        <w:t xml:space="preserve">Example:  </w:t>
      </w:r>
      <w:r>
        <w:t>Asher gifts Apple stock he purchased for $1,000 to his friend Ashley.  At the time of the gift, the stock had a fair market value of $1,500.  Ashley’s basis in the stock is $1,000, the same as Asher’s.  So if she sold the stock for $1500, she would have a $500 gain.</w:t>
      </w:r>
    </w:p>
    <w:p w:rsidR="002D3EAD" w:rsidRDefault="002D3EAD" w:rsidP="00762BE6">
      <w:pPr>
        <w:jc w:val="both"/>
        <w:rPr>
          <w:sz w:val="24"/>
          <w:szCs w:val="24"/>
        </w:rPr>
      </w:pPr>
      <w:r>
        <w:t xml:space="preserve">       </w:t>
      </w:r>
      <w:r>
        <w:rPr>
          <w:sz w:val="24"/>
          <w:szCs w:val="24"/>
        </w:rPr>
        <w:t xml:space="preserve">On the other hand, there is an exception to the rule that the </w:t>
      </w:r>
      <w:proofErr w:type="spellStart"/>
      <w:r>
        <w:rPr>
          <w:sz w:val="24"/>
          <w:szCs w:val="24"/>
        </w:rPr>
        <w:t>done</w:t>
      </w:r>
      <w:r w:rsidR="00762BE6">
        <w:rPr>
          <w:sz w:val="24"/>
          <w:szCs w:val="24"/>
        </w:rPr>
        <w:t>e</w:t>
      </w:r>
      <w:proofErr w:type="spellEnd"/>
      <w:r>
        <w:rPr>
          <w:sz w:val="24"/>
          <w:szCs w:val="24"/>
        </w:rPr>
        <w:t xml:space="preserve"> taxpayer takes the donor’s basis in the property.  This occurs when at the time of the gift, the donor’s basis is greater than the fair market value of the gifted property.  In that case, the </w:t>
      </w:r>
      <w:proofErr w:type="spellStart"/>
      <w:r>
        <w:rPr>
          <w:sz w:val="24"/>
          <w:szCs w:val="24"/>
        </w:rPr>
        <w:t>donee</w:t>
      </w:r>
      <w:proofErr w:type="spellEnd"/>
      <w:r>
        <w:rPr>
          <w:sz w:val="24"/>
          <w:szCs w:val="24"/>
        </w:rPr>
        <w:t xml:space="preserve"> taxpayer’s basis is the fair market value of the property.</w:t>
      </w:r>
      <w:r w:rsidR="00D3434F">
        <w:rPr>
          <w:rStyle w:val="EndnoteReference"/>
          <w:sz w:val="24"/>
          <w:szCs w:val="24"/>
        </w:rPr>
        <w:endnoteReference w:id="6"/>
      </w:r>
    </w:p>
    <w:p w:rsidR="002D3EAD" w:rsidRDefault="002D3EAD" w:rsidP="00D3434F">
      <w:pPr>
        <w:rPr>
          <w:sz w:val="24"/>
          <w:szCs w:val="24"/>
        </w:rPr>
      </w:pPr>
    </w:p>
    <w:p w:rsidR="002D3EAD" w:rsidRDefault="002D3EAD" w:rsidP="002D3EAD">
      <w:pPr>
        <w:pStyle w:val="PA"/>
      </w:pPr>
      <w:r>
        <w:rPr>
          <w:i/>
        </w:rPr>
        <w:t xml:space="preserve">Example:  </w:t>
      </w:r>
      <w:r>
        <w:t>Asher gifts Apple stock he purchased for $1,000 to his friend Ashley.  At the time of the gift, the stock had a fair market value of $500.  Because Asher’s basis of $1,000 is greater than its $500 fair market value, Ashley’s basis in the stock is $500.  So if she sold the stock for $500, she would have no gain or loss.</w:t>
      </w:r>
      <w:r w:rsidR="00762BE6">
        <w:t xml:space="preserve">  The reason for this rule to prevent one </w:t>
      </w:r>
      <w:r w:rsidR="00762BE6">
        <w:lastRenderedPageBreak/>
        <w:t>taxpayer to shift a taxable loss to the other taxpayer.  If Ashley had taken Asher’s $1,000 basis, she would have reported a $500 loss rather than Asher.</w:t>
      </w:r>
    </w:p>
    <w:p w:rsidR="002D3EAD" w:rsidRDefault="002D3EAD" w:rsidP="00D3434F">
      <w:pPr>
        <w:rPr>
          <w:sz w:val="24"/>
          <w:szCs w:val="24"/>
        </w:rPr>
      </w:pPr>
    </w:p>
    <w:p w:rsidR="002D3EAD" w:rsidRDefault="002D3EAD" w:rsidP="00D3434F">
      <w:pPr>
        <w:rPr>
          <w:sz w:val="24"/>
          <w:szCs w:val="24"/>
        </w:rPr>
      </w:pPr>
    </w:p>
    <w:p w:rsidR="00F4296A" w:rsidRDefault="00F4296A" w:rsidP="00D3434F">
      <w:pPr>
        <w:pStyle w:val="PA"/>
      </w:pPr>
    </w:p>
    <w:sectPr w:rsidR="00F4296A" w:rsidSect="00271A21">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5E" w:rsidRDefault="00C84A5E" w:rsidP="00F4296A">
      <w:r>
        <w:separator/>
      </w:r>
    </w:p>
  </w:endnote>
  <w:endnote w:type="continuationSeparator" w:id="0">
    <w:p w:rsidR="00C84A5E" w:rsidRDefault="00C84A5E" w:rsidP="00F4296A">
      <w:r>
        <w:continuationSeparator/>
      </w:r>
    </w:p>
  </w:endnote>
  <w:endnote w:id="1">
    <w:p w:rsidR="00A76E2C" w:rsidRPr="00D3434F" w:rsidRDefault="00A76E2C">
      <w:pPr>
        <w:pStyle w:val="EndnoteText"/>
        <w:rPr>
          <w:sz w:val="16"/>
          <w:szCs w:val="16"/>
        </w:rPr>
      </w:pPr>
      <w:r>
        <w:rPr>
          <w:rStyle w:val="EndnoteReference"/>
        </w:rPr>
        <w:endnoteRef/>
      </w:r>
      <w:r>
        <w:t xml:space="preserve"> </w:t>
      </w:r>
      <w:r>
        <w:rPr>
          <w:sz w:val="16"/>
          <w:szCs w:val="16"/>
        </w:rPr>
        <w:t>IRC Sec. 1012.</w:t>
      </w:r>
    </w:p>
  </w:endnote>
  <w:endnote w:id="2">
    <w:p w:rsidR="00A76E2C" w:rsidRPr="00D3434F" w:rsidRDefault="00A76E2C">
      <w:pPr>
        <w:pStyle w:val="EndnoteText"/>
        <w:rPr>
          <w:sz w:val="16"/>
          <w:szCs w:val="16"/>
        </w:rPr>
      </w:pPr>
      <w:r>
        <w:rPr>
          <w:rStyle w:val="EndnoteReference"/>
        </w:rPr>
        <w:endnoteRef/>
      </w:r>
      <w:r>
        <w:t xml:space="preserve"> </w:t>
      </w:r>
      <w:r>
        <w:rPr>
          <w:sz w:val="16"/>
          <w:szCs w:val="16"/>
        </w:rPr>
        <w:t xml:space="preserve">IRC Sec. </w:t>
      </w:r>
      <w:proofErr w:type="gramStart"/>
      <w:r>
        <w:rPr>
          <w:sz w:val="16"/>
          <w:szCs w:val="16"/>
        </w:rPr>
        <w:t>1001(a</w:t>
      </w:r>
      <w:proofErr w:type="gramEnd"/>
      <w:r>
        <w:rPr>
          <w:sz w:val="16"/>
          <w:szCs w:val="16"/>
        </w:rPr>
        <w:t>).</w:t>
      </w:r>
    </w:p>
  </w:endnote>
  <w:endnote w:id="3">
    <w:p w:rsidR="00A76E2C" w:rsidRPr="00D3434F" w:rsidRDefault="00A76E2C">
      <w:pPr>
        <w:pStyle w:val="EndnoteText"/>
        <w:rPr>
          <w:sz w:val="16"/>
          <w:szCs w:val="16"/>
        </w:rPr>
      </w:pPr>
      <w:r>
        <w:rPr>
          <w:rStyle w:val="EndnoteReference"/>
        </w:rPr>
        <w:endnoteRef/>
      </w:r>
      <w:r>
        <w:t xml:space="preserve"> </w:t>
      </w:r>
      <w:r>
        <w:rPr>
          <w:sz w:val="16"/>
          <w:szCs w:val="16"/>
        </w:rPr>
        <w:t xml:space="preserve">IRC Sec. </w:t>
      </w:r>
      <w:proofErr w:type="gramStart"/>
      <w:r>
        <w:rPr>
          <w:sz w:val="16"/>
          <w:szCs w:val="16"/>
        </w:rPr>
        <w:t>1001(a</w:t>
      </w:r>
      <w:proofErr w:type="gramEnd"/>
      <w:r>
        <w:rPr>
          <w:sz w:val="16"/>
          <w:szCs w:val="16"/>
        </w:rPr>
        <w:t>).</w:t>
      </w:r>
    </w:p>
  </w:endnote>
  <w:endnote w:id="4">
    <w:p w:rsidR="003A37C8" w:rsidRPr="00D3434F" w:rsidRDefault="003A37C8">
      <w:pPr>
        <w:pStyle w:val="EndnoteText"/>
        <w:rPr>
          <w:sz w:val="16"/>
          <w:szCs w:val="16"/>
        </w:rPr>
      </w:pPr>
      <w:r>
        <w:rPr>
          <w:rStyle w:val="EndnoteReference"/>
        </w:rPr>
        <w:endnoteRef/>
      </w:r>
      <w:r>
        <w:t xml:space="preserve"> </w:t>
      </w:r>
      <w:r>
        <w:rPr>
          <w:sz w:val="16"/>
          <w:szCs w:val="16"/>
        </w:rPr>
        <w:t>IRC Sec. 1014.</w:t>
      </w:r>
    </w:p>
  </w:endnote>
  <w:endnote w:id="5">
    <w:p w:rsidR="003A37C8" w:rsidRPr="00D3434F" w:rsidRDefault="003A37C8">
      <w:pPr>
        <w:pStyle w:val="EndnoteText"/>
        <w:rPr>
          <w:sz w:val="16"/>
          <w:szCs w:val="16"/>
        </w:rPr>
      </w:pPr>
      <w:r>
        <w:rPr>
          <w:rStyle w:val="EndnoteReference"/>
        </w:rPr>
        <w:endnoteRef/>
      </w:r>
      <w:r>
        <w:t xml:space="preserve"> </w:t>
      </w:r>
      <w:r>
        <w:rPr>
          <w:sz w:val="16"/>
          <w:szCs w:val="16"/>
        </w:rPr>
        <w:t xml:space="preserve">IRC Sec. </w:t>
      </w:r>
      <w:proofErr w:type="gramStart"/>
      <w:r>
        <w:rPr>
          <w:sz w:val="16"/>
          <w:szCs w:val="16"/>
        </w:rPr>
        <w:t>1015</w:t>
      </w:r>
      <w:r w:rsidR="00D3434F">
        <w:rPr>
          <w:sz w:val="16"/>
          <w:szCs w:val="16"/>
        </w:rPr>
        <w:t>(a</w:t>
      </w:r>
      <w:proofErr w:type="gramEnd"/>
      <w:r w:rsidR="00D3434F">
        <w:rPr>
          <w:sz w:val="16"/>
          <w:szCs w:val="16"/>
        </w:rPr>
        <w:t>)</w:t>
      </w:r>
      <w:r>
        <w:rPr>
          <w:sz w:val="16"/>
          <w:szCs w:val="16"/>
        </w:rPr>
        <w:t>.</w:t>
      </w:r>
    </w:p>
  </w:endnote>
  <w:endnote w:id="6">
    <w:p w:rsidR="00D3434F" w:rsidRPr="00D3434F" w:rsidRDefault="00D3434F">
      <w:pPr>
        <w:pStyle w:val="EndnoteText"/>
        <w:rPr>
          <w:sz w:val="16"/>
          <w:szCs w:val="16"/>
        </w:rPr>
      </w:pPr>
      <w:r>
        <w:rPr>
          <w:rStyle w:val="EndnoteReference"/>
        </w:rPr>
        <w:endnoteRef/>
      </w:r>
      <w:r>
        <w:t xml:space="preserve"> </w:t>
      </w:r>
      <w:r w:rsidRPr="00D3434F">
        <w:rPr>
          <w:sz w:val="16"/>
          <w:szCs w:val="16"/>
        </w:rPr>
        <w:t xml:space="preserve">IRC Sec. </w:t>
      </w:r>
      <w:proofErr w:type="gramStart"/>
      <w:r w:rsidRPr="00D3434F">
        <w:rPr>
          <w:sz w:val="16"/>
          <w:szCs w:val="16"/>
        </w:rPr>
        <w:t>1015(a</w:t>
      </w:r>
      <w:proofErr w:type="gramEnd"/>
      <w:r w:rsidRPr="00D3434F">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5E" w:rsidRDefault="00C84A5E" w:rsidP="00F4296A">
      <w:r>
        <w:separator/>
      </w:r>
    </w:p>
  </w:footnote>
  <w:footnote w:type="continuationSeparator" w:id="0">
    <w:p w:rsidR="00C84A5E" w:rsidRDefault="00C84A5E" w:rsidP="00F42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64A6A74"/>
    <w:multiLevelType w:val="hybridMultilevel"/>
    <w:tmpl w:val="0002C4EA"/>
    <w:lvl w:ilvl="0" w:tplc="72187FA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B1E04D0"/>
    <w:multiLevelType w:val="hybridMultilevel"/>
    <w:tmpl w:val="05C238FA"/>
    <w:lvl w:ilvl="0" w:tplc="0BF2A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084466"/>
    <w:multiLevelType w:val="hybridMultilevel"/>
    <w:tmpl w:val="3404044A"/>
    <w:lvl w:ilvl="0" w:tplc="529A75D0">
      <w:start w:val="4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8"/>
  </w:num>
  <w:num w:numId="2">
    <w:abstractNumId w:val="6"/>
  </w:num>
  <w:num w:numId="3">
    <w:abstractNumId w:val="1"/>
  </w:num>
  <w:num w:numId="4">
    <w:abstractNumId w:val="10"/>
  </w:num>
  <w:num w:numId="5">
    <w:abstractNumId w:val="0"/>
  </w:num>
  <w:num w:numId="6">
    <w:abstractNumId w:val="5"/>
  </w:num>
  <w:num w:numId="7">
    <w:abstractNumId w:val="13"/>
  </w:num>
  <w:num w:numId="8">
    <w:abstractNumId w:val="4"/>
  </w:num>
  <w:num w:numId="9">
    <w:abstractNumId w:val="9"/>
  </w:num>
  <w:num w:numId="10">
    <w:abstractNumId w:val="2"/>
  </w:num>
  <w:num w:numId="11">
    <w:abstractNumId w:val="3"/>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67"/>
    <w:rsid w:val="000364AA"/>
    <w:rsid w:val="00036D83"/>
    <w:rsid w:val="000A22B1"/>
    <w:rsid w:val="000A53C2"/>
    <w:rsid w:val="000C1776"/>
    <w:rsid w:val="000F4FD7"/>
    <w:rsid w:val="001018D5"/>
    <w:rsid w:val="00135C9D"/>
    <w:rsid w:val="001409E2"/>
    <w:rsid w:val="00144D20"/>
    <w:rsid w:val="0016358E"/>
    <w:rsid w:val="00170900"/>
    <w:rsid w:val="001C3C44"/>
    <w:rsid w:val="001C40E6"/>
    <w:rsid w:val="001D4FA3"/>
    <w:rsid w:val="001E64C8"/>
    <w:rsid w:val="001F52F4"/>
    <w:rsid w:val="001F73A2"/>
    <w:rsid w:val="00215C3D"/>
    <w:rsid w:val="00255005"/>
    <w:rsid w:val="00271A21"/>
    <w:rsid w:val="00292049"/>
    <w:rsid w:val="002A027F"/>
    <w:rsid w:val="002B4B83"/>
    <w:rsid w:val="002D3EAD"/>
    <w:rsid w:val="002D4314"/>
    <w:rsid w:val="00307DB9"/>
    <w:rsid w:val="003566BE"/>
    <w:rsid w:val="00366114"/>
    <w:rsid w:val="003A37C8"/>
    <w:rsid w:val="004120E2"/>
    <w:rsid w:val="00442416"/>
    <w:rsid w:val="00453AA6"/>
    <w:rsid w:val="00475112"/>
    <w:rsid w:val="00491DE8"/>
    <w:rsid w:val="00494472"/>
    <w:rsid w:val="004B69F3"/>
    <w:rsid w:val="004D5C3E"/>
    <w:rsid w:val="004F216D"/>
    <w:rsid w:val="005175CD"/>
    <w:rsid w:val="00525224"/>
    <w:rsid w:val="0055012A"/>
    <w:rsid w:val="005963EF"/>
    <w:rsid w:val="005D0931"/>
    <w:rsid w:val="005E45AB"/>
    <w:rsid w:val="00622887"/>
    <w:rsid w:val="006370D0"/>
    <w:rsid w:val="006451B3"/>
    <w:rsid w:val="00672FCA"/>
    <w:rsid w:val="0067311C"/>
    <w:rsid w:val="006767EC"/>
    <w:rsid w:val="00677FA4"/>
    <w:rsid w:val="006D7FA7"/>
    <w:rsid w:val="006F1676"/>
    <w:rsid w:val="006F6498"/>
    <w:rsid w:val="006F71C9"/>
    <w:rsid w:val="00713384"/>
    <w:rsid w:val="00715A46"/>
    <w:rsid w:val="007202C3"/>
    <w:rsid w:val="0074319B"/>
    <w:rsid w:val="00762BE6"/>
    <w:rsid w:val="007B49AE"/>
    <w:rsid w:val="007B5E18"/>
    <w:rsid w:val="007C495E"/>
    <w:rsid w:val="007D5C29"/>
    <w:rsid w:val="007F0BBA"/>
    <w:rsid w:val="007F4511"/>
    <w:rsid w:val="00816BFC"/>
    <w:rsid w:val="00835B27"/>
    <w:rsid w:val="00871A99"/>
    <w:rsid w:val="00875ED7"/>
    <w:rsid w:val="00893227"/>
    <w:rsid w:val="008B16D5"/>
    <w:rsid w:val="008C20FB"/>
    <w:rsid w:val="008D3707"/>
    <w:rsid w:val="008D6FC8"/>
    <w:rsid w:val="0092753D"/>
    <w:rsid w:val="009825EF"/>
    <w:rsid w:val="009934EF"/>
    <w:rsid w:val="009C5F6E"/>
    <w:rsid w:val="00A02AF1"/>
    <w:rsid w:val="00A0767E"/>
    <w:rsid w:val="00A1572A"/>
    <w:rsid w:val="00A20C49"/>
    <w:rsid w:val="00A53374"/>
    <w:rsid w:val="00A540B7"/>
    <w:rsid w:val="00A76E2C"/>
    <w:rsid w:val="00A96188"/>
    <w:rsid w:val="00AE4D8A"/>
    <w:rsid w:val="00AF5D01"/>
    <w:rsid w:val="00B31555"/>
    <w:rsid w:val="00B7149F"/>
    <w:rsid w:val="00B86944"/>
    <w:rsid w:val="00BA65DF"/>
    <w:rsid w:val="00BC0EC2"/>
    <w:rsid w:val="00BF3D51"/>
    <w:rsid w:val="00C15AB8"/>
    <w:rsid w:val="00C82361"/>
    <w:rsid w:val="00C84A5E"/>
    <w:rsid w:val="00C9594B"/>
    <w:rsid w:val="00C979CC"/>
    <w:rsid w:val="00CA2508"/>
    <w:rsid w:val="00CD3D7E"/>
    <w:rsid w:val="00CD6002"/>
    <w:rsid w:val="00CF6495"/>
    <w:rsid w:val="00D128C3"/>
    <w:rsid w:val="00D223DC"/>
    <w:rsid w:val="00D243A7"/>
    <w:rsid w:val="00D3434F"/>
    <w:rsid w:val="00D36C53"/>
    <w:rsid w:val="00D45E0D"/>
    <w:rsid w:val="00D46D21"/>
    <w:rsid w:val="00D81626"/>
    <w:rsid w:val="00DA7231"/>
    <w:rsid w:val="00DE3662"/>
    <w:rsid w:val="00E03171"/>
    <w:rsid w:val="00E25EBE"/>
    <w:rsid w:val="00E31834"/>
    <w:rsid w:val="00E3395B"/>
    <w:rsid w:val="00E728D7"/>
    <w:rsid w:val="00E853E9"/>
    <w:rsid w:val="00E86B42"/>
    <w:rsid w:val="00E86CF5"/>
    <w:rsid w:val="00EA280B"/>
    <w:rsid w:val="00EB53DF"/>
    <w:rsid w:val="00EC07A2"/>
    <w:rsid w:val="00EC0811"/>
    <w:rsid w:val="00EC7AA5"/>
    <w:rsid w:val="00ED55E8"/>
    <w:rsid w:val="00EE44FD"/>
    <w:rsid w:val="00F37136"/>
    <w:rsid w:val="00F4296A"/>
    <w:rsid w:val="00F50C32"/>
    <w:rsid w:val="00F53618"/>
    <w:rsid w:val="00F91BB1"/>
    <w:rsid w:val="00FA7F04"/>
    <w:rsid w:val="00FB4B66"/>
    <w:rsid w:val="00FC3367"/>
    <w:rsid w:val="00FD458C"/>
    <w:rsid w:val="00FD757B"/>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A0767E"/>
    <w:rPr>
      <w:rFonts w:ascii="Perpetua Std" w:hAnsi="Perpetua Std"/>
    </w:rPr>
  </w:style>
  <w:style w:type="paragraph" w:styleId="Heading1">
    <w:name w:val="heading 1"/>
    <w:basedOn w:val="Normal"/>
    <w:next w:val="Normal"/>
    <w:link w:val="Heading1Char"/>
    <w:qFormat/>
    <w:rsid w:val="00A0767E"/>
    <w:pPr>
      <w:keepNext/>
      <w:outlineLvl w:val="0"/>
    </w:pPr>
    <w:rPr>
      <w:b/>
    </w:rPr>
  </w:style>
  <w:style w:type="paragraph" w:styleId="Heading2">
    <w:name w:val="heading 2"/>
    <w:basedOn w:val="Normal"/>
    <w:next w:val="Normal"/>
    <w:link w:val="Heading2Char"/>
    <w:qFormat/>
    <w:rsid w:val="00A0767E"/>
    <w:pPr>
      <w:keepNext/>
      <w:spacing w:before="240" w:after="60"/>
      <w:outlineLvl w:val="1"/>
    </w:pPr>
    <w:rPr>
      <w:rFonts w:ascii="Arial" w:hAnsi="Arial"/>
      <w:b/>
      <w:i/>
      <w:sz w:val="24"/>
    </w:rPr>
  </w:style>
  <w:style w:type="paragraph" w:styleId="Heading3">
    <w:name w:val="heading 3"/>
    <w:basedOn w:val="Normal"/>
    <w:next w:val="Normal"/>
    <w:link w:val="Heading3Char"/>
    <w:qFormat/>
    <w:rsid w:val="00A0767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A0767E"/>
    <w:pPr>
      <w:spacing w:after="240"/>
      <w:jc w:val="both"/>
    </w:pPr>
    <w:rPr>
      <w:rFonts w:ascii="Helvetica LT Std" w:hAnsi="Helvetica LT Std"/>
      <w:b/>
      <w:color w:val="000000"/>
      <w:sz w:val="26"/>
    </w:rPr>
  </w:style>
  <w:style w:type="paragraph" w:customStyle="1" w:styleId="PA">
    <w:name w:val="PA"/>
    <w:next w:val="Normal"/>
    <w:link w:val="PAChar"/>
    <w:rsid w:val="00A0767E"/>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A0767E"/>
    <w:rPr>
      <w:rFonts w:ascii="Perpetua Std" w:hAnsi="Perpetua Std"/>
      <w:color w:val="000000"/>
      <w:sz w:val="24"/>
    </w:rPr>
  </w:style>
  <w:style w:type="paragraph" w:customStyle="1" w:styleId="PB">
    <w:name w:val="PB"/>
    <w:rsid w:val="00A0767E"/>
    <w:pPr>
      <w:spacing w:after="240"/>
      <w:jc w:val="both"/>
    </w:pPr>
    <w:rPr>
      <w:rFonts w:ascii="Perpetua Std" w:hAnsi="Perpetua Std"/>
      <w:color w:val="000000"/>
      <w:sz w:val="24"/>
    </w:rPr>
  </w:style>
  <w:style w:type="paragraph" w:customStyle="1" w:styleId="PC">
    <w:name w:val="PC"/>
    <w:rsid w:val="00A0767E"/>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A0767E"/>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A0767E"/>
    <w:rPr>
      <w:rFonts w:ascii="Adobe Caslon Pro" w:hAnsi="Adobe Caslon Pro"/>
      <w:color w:val="000000"/>
      <w:sz w:val="14"/>
    </w:rPr>
  </w:style>
  <w:style w:type="character" w:styleId="FootnoteReference">
    <w:name w:val="footnote reference"/>
    <w:rsid w:val="00A0767E"/>
    <w:rPr>
      <w:vertAlign w:val="superscript"/>
    </w:rPr>
  </w:style>
  <w:style w:type="paragraph" w:customStyle="1" w:styleId="HD">
    <w:name w:val="HD"/>
    <w:rsid w:val="00A0767E"/>
    <w:pPr>
      <w:suppressAutoHyphens/>
      <w:spacing w:before="120"/>
      <w:jc w:val="center"/>
    </w:pPr>
    <w:rPr>
      <w:rFonts w:ascii="Helvetica LT Std" w:hAnsi="Helvetica LT Std"/>
      <w:sz w:val="26"/>
      <w:szCs w:val="18"/>
    </w:rPr>
  </w:style>
  <w:style w:type="paragraph" w:customStyle="1" w:styleId="PN">
    <w:name w:val="PN"/>
    <w:rsid w:val="00A0767E"/>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A0767E"/>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A0767E"/>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A0767E"/>
    <w:pPr>
      <w:spacing w:before="144"/>
      <w:jc w:val="both"/>
    </w:pPr>
    <w:rPr>
      <w:noProof/>
    </w:rPr>
  </w:style>
  <w:style w:type="paragraph" w:customStyle="1" w:styleId="PD">
    <w:name w:val="PD"/>
    <w:rsid w:val="00A0767E"/>
    <w:pPr>
      <w:spacing w:after="240"/>
      <w:ind w:left="720" w:firstLine="288"/>
      <w:jc w:val="both"/>
    </w:pPr>
    <w:rPr>
      <w:rFonts w:ascii="Perpetua Std" w:hAnsi="Perpetua Std"/>
      <w:color w:val="000000"/>
      <w:sz w:val="24"/>
    </w:rPr>
  </w:style>
  <w:style w:type="paragraph" w:customStyle="1" w:styleId="PE">
    <w:name w:val="PE"/>
    <w:rsid w:val="00A0767E"/>
    <w:pPr>
      <w:spacing w:after="240"/>
      <w:ind w:left="720"/>
      <w:jc w:val="both"/>
    </w:pPr>
    <w:rPr>
      <w:rFonts w:ascii="Perpetua Std" w:hAnsi="Perpetua Std"/>
      <w:color w:val="000000"/>
      <w:sz w:val="24"/>
    </w:rPr>
  </w:style>
  <w:style w:type="paragraph" w:customStyle="1" w:styleId="PF">
    <w:name w:val="PF"/>
    <w:rsid w:val="00A0767E"/>
    <w:pPr>
      <w:tabs>
        <w:tab w:val="left" w:pos="1080"/>
      </w:tabs>
      <w:spacing w:after="240"/>
      <w:ind w:left="1080" w:hanging="360"/>
      <w:jc w:val="both"/>
    </w:pPr>
    <w:rPr>
      <w:rFonts w:ascii="Perpetua Std" w:hAnsi="Perpetua Std"/>
      <w:color w:val="000000"/>
      <w:sz w:val="24"/>
    </w:rPr>
  </w:style>
  <w:style w:type="paragraph" w:customStyle="1" w:styleId="PG">
    <w:name w:val="PG"/>
    <w:rsid w:val="00A0767E"/>
    <w:pPr>
      <w:spacing w:after="240"/>
      <w:ind w:left="360"/>
      <w:jc w:val="both"/>
    </w:pPr>
    <w:rPr>
      <w:rFonts w:ascii="Perpetua Std" w:hAnsi="Perpetua Std"/>
      <w:color w:val="000000"/>
      <w:sz w:val="24"/>
    </w:rPr>
  </w:style>
  <w:style w:type="paragraph" w:customStyle="1" w:styleId="PH">
    <w:name w:val="PH"/>
    <w:rsid w:val="00A0767E"/>
    <w:pPr>
      <w:tabs>
        <w:tab w:val="left" w:pos="360"/>
      </w:tabs>
      <w:spacing w:after="240"/>
      <w:ind w:left="360" w:hanging="360"/>
      <w:jc w:val="both"/>
    </w:pPr>
    <w:rPr>
      <w:rFonts w:ascii="Perpetua Std" w:hAnsi="Perpetua Std"/>
      <w:color w:val="000000"/>
      <w:sz w:val="24"/>
    </w:rPr>
  </w:style>
  <w:style w:type="paragraph" w:customStyle="1" w:styleId="PI">
    <w:name w:val="PI"/>
    <w:rsid w:val="00A0767E"/>
    <w:pPr>
      <w:spacing w:after="240"/>
      <w:ind w:left="360" w:hanging="360"/>
      <w:jc w:val="both"/>
    </w:pPr>
    <w:rPr>
      <w:rFonts w:ascii="Perpetua Std" w:hAnsi="Perpetua Std"/>
      <w:color w:val="000000"/>
      <w:sz w:val="24"/>
    </w:rPr>
  </w:style>
  <w:style w:type="paragraph" w:customStyle="1" w:styleId="PK">
    <w:name w:val="PK"/>
    <w:rsid w:val="00A0767E"/>
    <w:pPr>
      <w:spacing w:after="240"/>
      <w:ind w:left="360" w:firstLine="288"/>
      <w:jc w:val="both"/>
    </w:pPr>
    <w:rPr>
      <w:rFonts w:ascii="Perpetua Std" w:hAnsi="Perpetua Std"/>
      <w:color w:val="000000"/>
      <w:sz w:val="24"/>
    </w:rPr>
  </w:style>
  <w:style w:type="paragraph" w:customStyle="1" w:styleId="PL">
    <w:name w:val="PL"/>
    <w:rsid w:val="00A0767E"/>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A0767E"/>
    <w:pPr>
      <w:spacing w:after="240"/>
      <w:ind w:left="432" w:right="432" w:firstLine="432"/>
      <w:jc w:val="both"/>
    </w:pPr>
    <w:rPr>
      <w:rFonts w:ascii="Minion Pro" w:hAnsi="Minion Pro"/>
    </w:rPr>
  </w:style>
  <w:style w:type="paragraph" w:customStyle="1" w:styleId="TOC">
    <w:name w:val="TOC"/>
    <w:autoRedefine/>
    <w:rsid w:val="00A0767E"/>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A0767E"/>
    <w:pPr>
      <w:tabs>
        <w:tab w:val="clear" w:pos="1440"/>
        <w:tab w:val="clear" w:pos="8640"/>
        <w:tab w:val="left" w:pos="240"/>
        <w:tab w:val="left" w:pos="480"/>
        <w:tab w:val="right" w:leader="dot" w:pos="4680"/>
      </w:tabs>
      <w:ind w:left="0" w:firstLine="0"/>
    </w:pPr>
    <w:rPr>
      <w:sz w:val="22"/>
    </w:rPr>
  </w:style>
  <w:style w:type="paragraph" w:customStyle="1" w:styleId="PP">
    <w:name w:val="PP"/>
    <w:rsid w:val="00A0767E"/>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A0767E"/>
    <w:pPr>
      <w:spacing w:before="120" w:after="120"/>
      <w:jc w:val="center"/>
    </w:pPr>
    <w:rPr>
      <w:rFonts w:ascii="Helvetica LT Std" w:hAnsi="Helvetica LT Std"/>
      <w:sz w:val="24"/>
    </w:rPr>
  </w:style>
  <w:style w:type="table" w:styleId="TableGrid">
    <w:name w:val="Table Grid"/>
    <w:basedOn w:val="TableNormal"/>
    <w:rsid w:val="00A07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A0767E"/>
    <w:pPr>
      <w:spacing w:after="240"/>
      <w:jc w:val="center"/>
    </w:pPr>
    <w:rPr>
      <w:rFonts w:ascii="Helvetica LT Std" w:hAnsi="Helvetica LT Std"/>
      <w:b/>
      <w:caps/>
      <w:color w:val="000000"/>
      <w:sz w:val="36"/>
      <w:szCs w:val="32"/>
    </w:rPr>
  </w:style>
  <w:style w:type="paragraph" w:customStyle="1" w:styleId="HB">
    <w:name w:val="HB"/>
    <w:rsid w:val="00A0767E"/>
    <w:pPr>
      <w:spacing w:before="120" w:after="240"/>
      <w:jc w:val="center"/>
    </w:pPr>
    <w:rPr>
      <w:rFonts w:ascii="Helvetica LT Std" w:hAnsi="Helvetica LT Std"/>
      <w:b/>
      <w:color w:val="5F5F5F"/>
      <w:w w:val="105"/>
      <w:sz w:val="32"/>
    </w:rPr>
  </w:style>
  <w:style w:type="paragraph" w:customStyle="1" w:styleId="HC">
    <w:name w:val="HC"/>
    <w:autoRedefine/>
    <w:rsid w:val="00A0767E"/>
    <w:pPr>
      <w:tabs>
        <w:tab w:val="left" w:pos="284"/>
      </w:tabs>
      <w:spacing w:before="120" w:after="120"/>
      <w:jc w:val="center"/>
    </w:pPr>
    <w:rPr>
      <w:rFonts w:ascii="Helvetica LT Std" w:hAnsi="Helvetica LT Std"/>
      <w:b/>
      <w:color w:val="000000"/>
      <w:w w:val="110"/>
      <w:sz w:val="26"/>
    </w:rPr>
  </w:style>
  <w:style w:type="paragraph" w:customStyle="1" w:styleId="PR">
    <w:name w:val="PR"/>
    <w:rsid w:val="00A0767E"/>
    <w:pPr>
      <w:spacing w:after="240"/>
      <w:ind w:left="360" w:firstLine="288"/>
      <w:jc w:val="both"/>
    </w:pPr>
    <w:rPr>
      <w:rFonts w:ascii="Adobe Caslon Pro" w:hAnsi="Adobe Caslon Pro"/>
      <w:color w:val="000000"/>
      <w:sz w:val="14"/>
    </w:rPr>
  </w:style>
  <w:style w:type="paragraph" w:customStyle="1" w:styleId="PO">
    <w:name w:val="PO"/>
    <w:rsid w:val="00A0767E"/>
    <w:pPr>
      <w:spacing w:after="240"/>
      <w:jc w:val="both"/>
    </w:pPr>
    <w:rPr>
      <w:rFonts w:ascii="Perpetua Std" w:hAnsi="Perpetua Std"/>
      <w:color w:val="000000"/>
      <w:w w:val="95"/>
      <w:szCs w:val="16"/>
    </w:rPr>
  </w:style>
  <w:style w:type="paragraph" w:customStyle="1" w:styleId="GUIDEX">
    <w:name w:val="GUIDEX"/>
    <w:rsid w:val="00A0767E"/>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A0767E"/>
    <w:pPr>
      <w:tabs>
        <w:tab w:val="clear" w:pos="240"/>
        <w:tab w:val="clear" w:pos="480"/>
        <w:tab w:val="clear" w:pos="720"/>
        <w:tab w:val="right" w:pos="4680"/>
      </w:tabs>
    </w:pPr>
  </w:style>
  <w:style w:type="paragraph" w:customStyle="1" w:styleId="PCB">
    <w:name w:val="PCB"/>
    <w:autoRedefine/>
    <w:rsid w:val="00A0767E"/>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A0767E"/>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A0767E"/>
    <w:rPr>
      <w:rFonts w:ascii="Perpetua Std" w:hAnsi="Perpetua Std"/>
    </w:rPr>
  </w:style>
  <w:style w:type="paragraph" w:styleId="NoSpacing">
    <w:name w:val="No Spacing"/>
    <w:qFormat/>
    <w:rsid w:val="00A0767E"/>
    <w:rPr>
      <w:rFonts w:ascii="Perpetua" w:hAnsi="Perpetua"/>
    </w:rPr>
  </w:style>
  <w:style w:type="paragraph" w:customStyle="1" w:styleId="PCA">
    <w:name w:val="PCA"/>
    <w:rsid w:val="00A0767E"/>
    <w:pPr>
      <w:numPr>
        <w:numId w:val="13"/>
      </w:numPr>
      <w:tabs>
        <w:tab w:val="left" w:pos="720"/>
      </w:tabs>
      <w:spacing w:after="240"/>
      <w:jc w:val="both"/>
    </w:pPr>
    <w:rPr>
      <w:rFonts w:ascii="Perpetua Std" w:hAnsi="Perpetua Std"/>
      <w:sz w:val="24"/>
    </w:rPr>
  </w:style>
  <w:style w:type="paragraph" w:customStyle="1" w:styleId="PHB">
    <w:name w:val="PHB"/>
    <w:rsid w:val="00A0767E"/>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A0767E"/>
    <w:rPr>
      <w:rFonts w:ascii="Perpetua Std" w:eastAsia="MS Mincho" w:hAnsi="Perpetua Std"/>
      <w:color w:val="000000"/>
      <w:sz w:val="22"/>
    </w:rPr>
  </w:style>
  <w:style w:type="paragraph" w:styleId="EndnoteText">
    <w:name w:val="endnote text"/>
    <w:basedOn w:val="Normal"/>
    <w:link w:val="EndnoteTextChar"/>
    <w:semiHidden/>
    <w:unhideWhenUsed/>
    <w:rsid w:val="00A76E2C"/>
  </w:style>
  <w:style w:type="character" w:customStyle="1" w:styleId="EndnoteTextChar">
    <w:name w:val="Endnote Text Char"/>
    <w:basedOn w:val="DefaultParagraphFont"/>
    <w:link w:val="EndnoteText"/>
    <w:semiHidden/>
    <w:rsid w:val="00A76E2C"/>
    <w:rPr>
      <w:rFonts w:ascii="Perpetua Std" w:hAnsi="Perpetua Std"/>
    </w:rPr>
  </w:style>
  <w:style w:type="character" w:styleId="EndnoteReference">
    <w:name w:val="endnote reference"/>
    <w:basedOn w:val="DefaultParagraphFont"/>
    <w:semiHidden/>
    <w:unhideWhenUsed/>
    <w:rsid w:val="00A76E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A0767E"/>
    <w:rPr>
      <w:rFonts w:ascii="Perpetua Std" w:hAnsi="Perpetua Std"/>
    </w:rPr>
  </w:style>
  <w:style w:type="paragraph" w:styleId="Heading1">
    <w:name w:val="heading 1"/>
    <w:basedOn w:val="Normal"/>
    <w:next w:val="Normal"/>
    <w:link w:val="Heading1Char"/>
    <w:qFormat/>
    <w:rsid w:val="00A0767E"/>
    <w:pPr>
      <w:keepNext/>
      <w:outlineLvl w:val="0"/>
    </w:pPr>
    <w:rPr>
      <w:b/>
    </w:rPr>
  </w:style>
  <w:style w:type="paragraph" w:styleId="Heading2">
    <w:name w:val="heading 2"/>
    <w:basedOn w:val="Normal"/>
    <w:next w:val="Normal"/>
    <w:link w:val="Heading2Char"/>
    <w:qFormat/>
    <w:rsid w:val="00A0767E"/>
    <w:pPr>
      <w:keepNext/>
      <w:spacing w:before="240" w:after="60"/>
      <w:outlineLvl w:val="1"/>
    </w:pPr>
    <w:rPr>
      <w:rFonts w:ascii="Arial" w:hAnsi="Arial"/>
      <w:b/>
      <w:i/>
      <w:sz w:val="24"/>
    </w:rPr>
  </w:style>
  <w:style w:type="paragraph" w:styleId="Heading3">
    <w:name w:val="heading 3"/>
    <w:basedOn w:val="Normal"/>
    <w:next w:val="Normal"/>
    <w:link w:val="Heading3Char"/>
    <w:qFormat/>
    <w:rsid w:val="00A0767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A0767E"/>
    <w:pPr>
      <w:spacing w:after="240"/>
      <w:jc w:val="both"/>
    </w:pPr>
    <w:rPr>
      <w:rFonts w:ascii="Helvetica LT Std" w:hAnsi="Helvetica LT Std"/>
      <w:b/>
      <w:color w:val="000000"/>
      <w:sz w:val="26"/>
    </w:rPr>
  </w:style>
  <w:style w:type="paragraph" w:customStyle="1" w:styleId="PA">
    <w:name w:val="PA"/>
    <w:next w:val="Normal"/>
    <w:link w:val="PAChar"/>
    <w:rsid w:val="00A0767E"/>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A0767E"/>
    <w:rPr>
      <w:rFonts w:ascii="Perpetua Std" w:hAnsi="Perpetua Std"/>
      <w:color w:val="000000"/>
      <w:sz w:val="24"/>
    </w:rPr>
  </w:style>
  <w:style w:type="paragraph" w:customStyle="1" w:styleId="PB">
    <w:name w:val="PB"/>
    <w:rsid w:val="00A0767E"/>
    <w:pPr>
      <w:spacing w:after="240"/>
      <w:jc w:val="both"/>
    </w:pPr>
    <w:rPr>
      <w:rFonts w:ascii="Perpetua Std" w:hAnsi="Perpetua Std"/>
      <w:color w:val="000000"/>
      <w:sz w:val="24"/>
    </w:rPr>
  </w:style>
  <w:style w:type="paragraph" w:customStyle="1" w:styleId="PC">
    <w:name w:val="PC"/>
    <w:rsid w:val="00A0767E"/>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A0767E"/>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A0767E"/>
    <w:rPr>
      <w:rFonts w:ascii="Adobe Caslon Pro" w:hAnsi="Adobe Caslon Pro"/>
      <w:color w:val="000000"/>
      <w:sz w:val="14"/>
    </w:rPr>
  </w:style>
  <w:style w:type="character" w:styleId="FootnoteReference">
    <w:name w:val="footnote reference"/>
    <w:rsid w:val="00A0767E"/>
    <w:rPr>
      <w:vertAlign w:val="superscript"/>
    </w:rPr>
  </w:style>
  <w:style w:type="paragraph" w:customStyle="1" w:styleId="HD">
    <w:name w:val="HD"/>
    <w:rsid w:val="00A0767E"/>
    <w:pPr>
      <w:suppressAutoHyphens/>
      <w:spacing w:before="120"/>
      <w:jc w:val="center"/>
    </w:pPr>
    <w:rPr>
      <w:rFonts w:ascii="Helvetica LT Std" w:hAnsi="Helvetica LT Std"/>
      <w:sz w:val="26"/>
      <w:szCs w:val="18"/>
    </w:rPr>
  </w:style>
  <w:style w:type="paragraph" w:customStyle="1" w:styleId="PN">
    <w:name w:val="PN"/>
    <w:rsid w:val="00A0767E"/>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A0767E"/>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A0767E"/>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A0767E"/>
    <w:pPr>
      <w:spacing w:before="144"/>
      <w:jc w:val="both"/>
    </w:pPr>
    <w:rPr>
      <w:noProof/>
    </w:rPr>
  </w:style>
  <w:style w:type="paragraph" w:customStyle="1" w:styleId="PD">
    <w:name w:val="PD"/>
    <w:rsid w:val="00A0767E"/>
    <w:pPr>
      <w:spacing w:after="240"/>
      <w:ind w:left="720" w:firstLine="288"/>
      <w:jc w:val="both"/>
    </w:pPr>
    <w:rPr>
      <w:rFonts w:ascii="Perpetua Std" w:hAnsi="Perpetua Std"/>
      <w:color w:val="000000"/>
      <w:sz w:val="24"/>
    </w:rPr>
  </w:style>
  <w:style w:type="paragraph" w:customStyle="1" w:styleId="PE">
    <w:name w:val="PE"/>
    <w:rsid w:val="00A0767E"/>
    <w:pPr>
      <w:spacing w:after="240"/>
      <w:ind w:left="720"/>
      <w:jc w:val="both"/>
    </w:pPr>
    <w:rPr>
      <w:rFonts w:ascii="Perpetua Std" w:hAnsi="Perpetua Std"/>
      <w:color w:val="000000"/>
      <w:sz w:val="24"/>
    </w:rPr>
  </w:style>
  <w:style w:type="paragraph" w:customStyle="1" w:styleId="PF">
    <w:name w:val="PF"/>
    <w:rsid w:val="00A0767E"/>
    <w:pPr>
      <w:tabs>
        <w:tab w:val="left" w:pos="1080"/>
      </w:tabs>
      <w:spacing w:after="240"/>
      <w:ind w:left="1080" w:hanging="360"/>
      <w:jc w:val="both"/>
    </w:pPr>
    <w:rPr>
      <w:rFonts w:ascii="Perpetua Std" w:hAnsi="Perpetua Std"/>
      <w:color w:val="000000"/>
      <w:sz w:val="24"/>
    </w:rPr>
  </w:style>
  <w:style w:type="paragraph" w:customStyle="1" w:styleId="PG">
    <w:name w:val="PG"/>
    <w:rsid w:val="00A0767E"/>
    <w:pPr>
      <w:spacing w:after="240"/>
      <w:ind w:left="360"/>
      <w:jc w:val="both"/>
    </w:pPr>
    <w:rPr>
      <w:rFonts w:ascii="Perpetua Std" w:hAnsi="Perpetua Std"/>
      <w:color w:val="000000"/>
      <w:sz w:val="24"/>
    </w:rPr>
  </w:style>
  <w:style w:type="paragraph" w:customStyle="1" w:styleId="PH">
    <w:name w:val="PH"/>
    <w:rsid w:val="00A0767E"/>
    <w:pPr>
      <w:tabs>
        <w:tab w:val="left" w:pos="360"/>
      </w:tabs>
      <w:spacing w:after="240"/>
      <w:ind w:left="360" w:hanging="360"/>
      <w:jc w:val="both"/>
    </w:pPr>
    <w:rPr>
      <w:rFonts w:ascii="Perpetua Std" w:hAnsi="Perpetua Std"/>
      <w:color w:val="000000"/>
      <w:sz w:val="24"/>
    </w:rPr>
  </w:style>
  <w:style w:type="paragraph" w:customStyle="1" w:styleId="PI">
    <w:name w:val="PI"/>
    <w:rsid w:val="00A0767E"/>
    <w:pPr>
      <w:spacing w:after="240"/>
      <w:ind w:left="360" w:hanging="360"/>
      <w:jc w:val="both"/>
    </w:pPr>
    <w:rPr>
      <w:rFonts w:ascii="Perpetua Std" w:hAnsi="Perpetua Std"/>
      <w:color w:val="000000"/>
      <w:sz w:val="24"/>
    </w:rPr>
  </w:style>
  <w:style w:type="paragraph" w:customStyle="1" w:styleId="PK">
    <w:name w:val="PK"/>
    <w:rsid w:val="00A0767E"/>
    <w:pPr>
      <w:spacing w:after="240"/>
      <w:ind w:left="360" w:firstLine="288"/>
      <w:jc w:val="both"/>
    </w:pPr>
    <w:rPr>
      <w:rFonts w:ascii="Perpetua Std" w:hAnsi="Perpetua Std"/>
      <w:color w:val="000000"/>
      <w:sz w:val="24"/>
    </w:rPr>
  </w:style>
  <w:style w:type="paragraph" w:customStyle="1" w:styleId="PL">
    <w:name w:val="PL"/>
    <w:rsid w:val="00A0767E"/>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A0767E"/>
    <w:pPr>
      <w:spacing w:after="240"/>
      <w:ind w:left="432" w:right="432" w:firstLine="432"/>
      <w:jc w:val="both"/>
    </w:pPr>
    <w:rPr>
      <w:rFonts w:ascii="Minion Pro" w:hAnsi="Minion Pro"/>
    </w:rPr>
  </w:style>
  <w:style w:type="paragraph" w:customStyle="1" w:styleId="TOC">
    <w:name w:val="TOC"/>
    <w:autoRedefine/>
    <w:rsid w:val="00A0767E"/>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A0767E"/>
    <w:pPr>
      <w:tabs>
        <w:tab w:val="clear" w:pos="1440"/>
        <w:tab w:val="clear" w:pos="8640"/>
        <w:tab w:val="left" w:pos="240"/>
        <w:tab w:val="left" w:pos="480"/>
        <w:tab w:val="right" w:leader="dot" w:pos="4680"/>
      </w:tabs>
      <w:ind w:left="0" w:firstLine="0"/>
    </w:pPr>
    <w:rPr>
      <w:sz w:val="22"/>
    </w:rPr>
  </w:style>
  <w:style w:type="paragraph" w:customStyle="1" w:styleId="PP">
    <w:name w:val="PP"/>
    <w:rsid w:val="00A0767E"/>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A0767E"/>
    <w:pPr>
      <w:spacing w:before="120" w:after="120"/>
      <w:jc w:val="center"/>
    </w:pPr>
    <w:rPr>
      <w:rFonts w:ascii="Helvetica LT Std" w:hAnsi="Helvetica LT Std"/>
      <w:sz w:val="24"/>
    </w:rPr>
  </w:style>
  <w:style w:type="table" w:styleId="TableGrid">
    <w:name w:val="Table Grid"/>
    <w:basedOn w:val="TableNormal"/>
    <w:rsid w:val="00A07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A0767E"/>
    <w:pPr>
      <w:spacing w:after="240"/>
      <w:jc w:val="center"/>
    </w:pPr>
    <w:rPr>
      <w:rFonts w:ascii="Helvetica LT Std" w:hAnsi="Helvetica LT Std"/>
      <w:b/>
      <w:caps/>
      <w:color w:val="000000"/>
      <w:sz w:val="36"/>
      <w:szCs w:val="32"/>
    </w:rPr>
  </w:style>
  <w:style w:type="paragraph" w:customStyle="1" w:styleId="HB">
    <w:name w:val="HB"/>
    <w:rsid w:val="00A0767E"/>
    <w:pPr>
      <w:spacing w:before="120" w:after="240"/>
      <w:jc w:val="center"/>
    </w:pPr>
    <w:rPr>
      <w:rFonts w:ascii="Helvetica LT Std" w:hAnsi="Helvetica LT Std"/>
      <w:b/>
      <w:color w:val="5F5F5F"/>
      <w:w w:val="105"/>
      <w:sz w:val="32"/>
    </w:rPr>
  </w:style>
  <w:style w:type="paragraph" w:customStyle="1" w:styleId="HC">
    <w:name w:val="HC"/>
    <w:autoRedefine/>
    <w:rsid w:val="00A0767E"/>
    <w:pPr>
      <w:tabs>
        <w:tab w:val="left" w:pos="284"/>
      </w:tabs>
      <w:spacing w:before="120" w:after="120"/>
      <w:jc w:val="center"/>
    </w:pPr>
    <w:rPr>
      <w:rFonts w:ascii="Helvetica LT Std" w:hAnsi="Helvetica LT Std"/>
      <w:b/>
      <w:color w:val="000000"/>
      <w:w w:val="110"/>
      <w:sz w:val="26"/>
    </w:rPr>
  </w:style>
  <w:style w:type="paragraph" w:customStyle="1" w:styleId="PR">
    <w:name w:val="PR"/>
    <w:rsid w:val="00A0767E"/>
    <w:pPr>
      <w:spacing w:after="240"/>
      <w:ind w:left="360" w:firstLine="288"/>
      <w:jc w:val="both"/>
    </w:pPr>
    <w:rPr>
      <w:rFonts w:ascii="Adobe Caslon Pro" w:hAnsi="Adobe Caslon Pro"/>
      <w:color w:val="000000"/>
      <w:sz w:val="14"/>
    </w:rPr>
  </w:style>
  <w:style w:type="paragraph" w:customStyle="1" w:styleId="PO">
    <w:name w:val="PO"/>
    <w:rsid w:val="00A0767E"/>
    <w:pPr>
      <w:spacing w:after="240"/>
      <w:jc w:val="both"/>
    </w:pPr>
    <w:rPr>
      <w:rFonts w:ascii="Perpetua Std" w:hAnsi="Perpetua Std"/>
      <w:color w:val="000000"/>
      <w:w w:val="95"/>
      <w:szCs w:val="16"/>
    </w:rPr>
  </w:style>
  <w:style w:type="paragraph" w:customStyle="1" w:styleId="GUIDEX">
    <w:name w:val="GUIDEX"/>
    <w:rsid w:val="00A0767E"/>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A0767E"/>
    <w:pPr>
      <w:tabs>
        <w:tab w:val="clear" w:pos="240"/>
        <w:tab w:val="clear" w:pos="480"/>
        <w:tab w:val="clear" w:pos="720"/>
        <w:tab w:val="right" w:pos="4680"/>
      </w:tabs>
    </w:pPr>
  </w:style>
  <w:style w:type="paragraph" w:customStyle="1" w:styleId="PCB">
    <w:name w:val="PCB"/>
    <w:autoRedefine/>
    <w:rsid w:val="00A0767E"/>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A0767E"/>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A0767E"/>
    <w:rPr>
      <w:rFonts w:ascii="Perpetua Std" w:hAnsi="Perpetua Std"/>
    </w:rPr>
  </w:style>
  <w:style w:type="paragraph" w:styleId="NoSpacing">
    <w:name w:val="No Spacing"/>
    <w:qFormat/>
    <w:rsid w:val="00A0767E"/>
    <w:rPr>
      <w:rFonts w:ascii="Perpetua" w:hAnsi="Perpetua"/>
    </w:rPr>
  </w:style>
  <w:style w:type="paragraph" w:customStyle="1" w:styleId="PCA">
    <w:name w:val="PCA"/>
    <w:rsid w:val="00A0767E"/>
    <w:pPr>
      <w:numPr>
        <w:numId w:val="13"/>
      </w:numPr>
      <w:tabs>
        <w:tab w:val="left" w:pos="720"/>
      </w:tabs>
      <w:spacing w:after="240"/>
      <w:jc w:val="both"/>
    </w:pPr>
    <w:rPr>
      <w:rFonts w:ascii="Perpetua Std" w:hAnsi="Perpetua Std"/>
      <w:sz w:val="24"/>
    </w:rPr>
  </w:style>
  <w:style w:type="paragraph" w:customStyle="1" w:styleId="PHB">
    <w:name w:val="PHB"/>
    <w:rsid w:val="00A0767E"/>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A0767E"/>
    <w:rPr>
      <w:rFonts w:ascii="Perpetua Std" w:eastAsia="MS Mincho" w:hAnsi="Perpetua Std"/>
      <w:color w:val="000000"/>
      <w:sz w:val="22"/>
    </w:rPr>
  </w:style>
  <w:style w:type="paragraph" w:styleId="EndnoteText">
    <w:name w:val="endnote text"/>
    <w:basedOn w:val="Normal"/>
    <w:link w:val="EndnoteTextChar"/>
    <w:semiHidden/>
    <w:unhideWhenUsed/>
    <w:rsid w:val="00A76E2C"/>
  </w:style>
  <w:style w:type="character" w:customStyle="1" w:styleId="EndnoteTextChar">
    <w:name w:val="Endnote Text Char"/>
    <w:basedOn w:val="DefaultParagraphFont"/>
    <w:link w:val="EndnoteText"/>
    <w:semiHidden/>
    <w:rsid w:val="00A76E2C"/>
    <w:rPr>
      <w:rFonts w:ascii="Perpetua Std" w:hAnsi="Perpetua Std"/>
    </w:rPr>
  </w:style>
  <w:style w:type="character" w:styleId="EndnoteReference">
    <w:name w:val="endnote reference"/>
    <w:basedOn w:val="DefaultParagraphFont"/>
    <w:semiHidden/>
    <w:unhideWhenUsed/>
    <w:rsid w:val="00A76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0552">
      <w:bodyDiv w:val="1"/>
      <w:marLeft w:val="0"/>
      <w:marRight w:val="0"/>
      <w:marTop w:val="0"/>
      <w:marBottom w:val="0"/>
      <w:divBdr>
        <w:top w:val="none" w:sz="0" w:space="0" w:color="auto"/>
        <w:left w:val="none" w:sz="0" w:space="0" w:color="auto"/>
        <w:bottom w:val="none" w:sz="0" w:space="0" w:color="auto"/>
        <w:right w:val="none" w:sz="0" w:space="0" w:color="auto"/>
      </w:divBdr>
      <w:divsChild>
        <w:div w:id="130700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787751">
      <w:bodyDiv w:val="1"/>
      <w:marLeft w:val="0"/>
      <w:marRight w:val="0"/>
      <w:marTop w:val="0"/>
      <w:marBottom w:val="0"/>
      <w:divBdr>
        <w:top w:val="none" w:sz="0" w:space="0" w:color="auto"/>
        <w:left w:val="none" w:sz="0" w:space="0" w:color="auto"/>
        <w:bottom w:val="none" w:sz="0" w:space="0" w:color="auto"/>
        <w:right w:val="none" w:sz="0" w:space="0" w:color="auto"/>
      </w:divBdr>
    </w:div>
    <w:div w:id="561211357">
      <w:bodyDiv w:val="1"/>
      <w:marLeft w:val="0"/>
      <w:marRight w:val="0"/>
      <w:marTop w:val="0"/>
      <w:marBottom w:val="0"/>
      <w:divBdr>
        <w:top w:val="none" w:sz="0" w:space="0" w:color="auto"/>
        <w:left w:val="none" w:sz="0" w:space="0" w:color="auto"/>
        <w:bottom w:val="none" w:sz="0" w:space="0" w:color="auto"/>
        <w:right w:val="none" w:sz="0" w:space="0" w:color="auto"/>
      </w:divBdr>
    </w:div>
    <w:div w:id="622620511">
      <w:bodyDiv w:val="1"/>
      <w:marLeft w:val="0"/>
      <w:marRight w:val="0"/>
      <w:marTop w:val="0"/>
      <w:marBottom w:val="0"/>
      <w:divBdr>
        <w:top w:val="none" w:sz="0" w:space="0" w:color="auto"/>
        <w:left w:val="none" w:sz="0" w:space="0" w:color="auto"/>
        <w:bottom w:val="none" w:sz="0" w:space="0" w:color="auto"/>
        <w:right w:val="none" w:sz="0" w:space="0" w:color="auto"/>
      </w:divBdr>
    </w:div>
    <w:div w:id="756366267">
      <w:bodyDiv w:val="1"/>
      <w:marLeft w:val="0"/>
      <w:marRight w:val="0"/>
      <w:marTop w:val="0"/>
      <w:marBottom w:val="0"/>
      <w:divBdr>
        <w:top w:val="none" w:sz="0" w:space="0" w:color="auto"/>
        <w:left w:val="none" w:sz="0" w:space="0" w:color="auto"/>
        <w:bottom w:val="none" w:sz="0" w:space="0" w:color="auto"/>
        <w:right w:val="none" w:sz="0" w:space="0" w:color="auto"/>
      </w:divBdr>
    </w:div>
    <w:div w:id="766072808">
      <w:bodyDiv w:val="1"/>
      <w:marLeft w:val="0"/>
      <w:marRight w:val="0"/>
      <w:marTop w:val="0"/>
      <w:marBottom w:val="0"/>
      <w:divBdr>
        <w:top w:val="none" w:sz="0" w:space="0" w:color="auto"/>
        <w:left w:val="none" w:sz="0" w:space="0" w:color="auto"/>
        <w:bottom w:val="none" w:sz="0" w:space="0" w:color="auto"/>
        <w:right w:val="none" w:sz="0" w:space="0" w:color="auto"/>
      </w:divBdr>
    </w:div>
    <w:div w:id="770050089">
      <w:bodyDiv w:val="1"/>
      <w:marLeft w:val="0"/>
      <w:marRight w:val="0"/>
      <w:marTop w:val="0"/>
      <w:marBottom w:val="0"/>
      <w:divBdr>
        <w:top w:val="none" w:sz="0" w:space="0" w:color="auto"/>
        <w:left w:val="none" w:sz="0" w:space="0" w:color="auto"/>
        <w:bottom w:val="none" w:sz="0" w:space="0" w:color="auto"/>
        <w:right w:val="none" w:sz="0" w:space="0" w:color="auto"/>
      </w:divBdr>
      <w:divsChild>
        <w:div w:id="192965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992362">
      <w:bodyDiv w:val="1"/>
      <w:marLeft w:val="0"/>
      <w:marRight w:val="0"/>
      <w:marTop w:val="0"/>
      <w:marBottom w:val="0"/>
      <w:divBdr>
        <w:top w:val="none" w:sz="0" w:space="0" w:color="auto"/>
        <w:left w:val="none" w:sz="0" w:space="0" w:color="auto"/>
        <w:bottom w:val="none" w:sz="0" w:space="0" w:color="auto"/>
        <w:right w:val="none" w:sz="0" w:space="0" w:color="auto"/>
      </w:divBdr>
      <w:divsChild>
        <w:div w:id="28778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3003">
      <w:bodyDiv w:val="1"/>
      <w:marLeft w:val="0"/>
      <w:marRight w:val="0"/>
      <w:marTop w:val="0"/>
      <w:marBottom w:val="0"/>
      <w:divBdr>
        <w:top w:val="none" w:sz="0" w:space="0" w:color="auto"/>
        <w:left w:val="none" w:sz="0" w:space="0" w:color="auto"/>
        <w:bottom w:val="none" w:sz="0" w:space="0" w:color="auto"/>
        <w:right w:val="none" w:sz="0" w:space="0" w:color="auto"/>
      </w:divBdr>
    </w:div>
    <w:div w:id="1183056715">
      <w:bodyDiv w:val="1"/>
      <w:marLeft w:val="0"/>
      <w:marRight w:val="0"/>
      <w:marTop w:val="0"/>
      <w:marBottom w:val="0"/>
      <w:divBdr>
        <w:top w:val="none" w:sz="0" w:space="0" w:color="auto"/>
        <w:left w:val="none" w:sz="0" w:space="0" w:color="auto"/>
        <w:bottom w:val="none" w:sz="0" w:space="0" w:color="auto"/>
        <w:right w:val="none" w:sz="0" w:space="0" w:color="auto"/>
      </w:divBdr>
    </w:div>
    <w:div w:id="1393651878">
      <w:bodyDiv w:val="1"/>
      <w:marLeft w:val="0"/>
      <w:marRight w:val="0"/>
      <w:marTop w:val="0"/>
      <w:marBottom w:val="0"/>
      <w:divBdr>
        <w:top w:val="none" w:sz="0" w:space="0" w:color="auto"/>
        <w:left w:val="none" w:sz="0" w:space="0" w:color="auto"/>
        <w:bottom w:val="none" w:sz="0" w:space="0" w:color="auto"/>
        <w:right w:val="none" w:sz="0" w:space="0" w:color="auto"/>
      </w:divBdr>
    </w:div>
    <w:div w:id="1441680622">
      <w:bodyDiv w:val="1"/>
      <w:marLeft w:val="0"/>
      <w:marRight w:val="0"/>
      <w:marTop w:val="0"/>
      <w:marBottom w:val="0"/>
      <w:divBdr>
        <w:top w:val="none" w:sz="0" w:space="0" w:color="auto"/>
        <w:left w:val="none" w:sz="0" w:space="0" w:color="auto"/>
        <w:bottom w:val="none" w:sz="0" w:space="0" w:color="auto"/>
        <w:right w:val="none" w:sz="0" w:space="0" w:color="auto"/>
      </w:divBdr>
    </w:div>
    <w:div w:id="1466045711">
      <w:bodyDiv w:val="1"/>
      <w:marLeft w:val="0"/>
      <w:marRight w:val="0"/>
      <w:marTop w:val="0"/>
      <w:marBottom w:val="0"/>
      <w:divBdr>
        <w:top w:val="none" w:sz="0" w:space="0" w:color="auto"/>
        <w:left w:val="none" w:sz="0" w:space="0" w:color="auto"/>
        <w:bottom w:val="none" w:sz="0" w:space="0" w:color="auto"/>
        <w:right w:val="none" w:sz="0" w:space="0" w:color="auto"/>
      </w:divBdr>
    </w:div>
    <w:div w:id="1491601637">
      <w:bodyDiv w:val="1"/>
      <w:marLeft w:val="0"/>
      <w:marRight w:val="0"/>
      <w:marTop w:val="0"/>
      <w:marBottom w:val="0"/>
      <w:divBdr>
        <w:top w:val="none" w:sz="0" w:space="0" w:color="auto"/>
        <w:left w:val="none" w:sz="0" w:space="0" w:color="auto"/>
        <w:bottom w:val="none" w:sz="0" w:space="0" w:color="auto"/>
        <w:right w:val="none" w:sz="0" w:space="0" w:color="auto"/>
      </w:divBdr>
    </w:div>
    <w:div w:id="1492524510">
      <w:bodyDiv w:val="1"/>
      <w:marLeft w:val="0"/>
      <w:marRight w:val="0"/>
      <w:marTop w:val="0"/>
      <w:marBottom w:val="0"/>
      <w:divBdr>
        <w:top w:val="none" w:sz="0" w:space="0" w:color="auto"/>
        <w:left w:val="none" w:sz="0" w:space="0" w:color="auto"/>
        <w:bottom w:val="none" w:sz="0" w:space="0" w:color="auto"/>
        <w:right w:val="none" w:sz="0" w:space="0" w:color="auto"/>
      </w:divBdr>
    </w:div>
    <w:div w:id="1499464918">
      <w:bodyDiv w:val="1"/>
      <w:marLeft w:val="0"/>
      <w:marRight w:val="0"/>
      <w:marTop w:val="0"/>
      <w:marBottom w:val="0"/>
      <w:divBdr>
        <w:top w:val="none" w:sz="0" w:space="0" w:color="auto"/>
        <w:left w:val="none" w:sz="0" w:space="0" w:color="auto"/>
        <w:bottom w:val="none" w:sz="0" w:space="0" w:color="auto"/>
        <w:right w:val="none" w:sz="0" w:space="0" w:color="auto"/>
      </w:divBdr>
    </w:div>
    <w:div w:id="1589926582">
      <w:bodyDiv w:val="1"/>
      <w:marLeft w:val="0"/>
      <w:marRight w:val="0"/>
      <w:marTop w:val="0"/>
      <w:marBottom w:val="0"/>
      <w:divBdr>
        <w:top w:val="none" w:sz="0" w:space="0" w:color="auto"/>
        <w:left w:val="none" w:sz="0" w:space="0" w:color="auto"/>
        <w:bottom w:val="none" w:sz="0" w:space="0" w:color="auto"/>
        <w:right w:val="none" w:sz="0" w:space="0" w:color="auto"/>
      </w:divBdr>
      <w:divsChild>
        <w:div w:id="70059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981397">
      <w:bodyDiv w:val="1"/>
      <w:marLeft w:val="0"/>
      <w:marRight w:val="0"/>
      <w:marTop w:val="0"/>
      <w:marBottom w:val="0"/>
      <w:divBdr>
        <w:top w:val="none" w:sz="0" w:space="0" w:color="auto"/>
        <w:left w:val="none" w:sz="0" w:space="0" w:color="auto"/>
        <w:bottom w:val="none" w:sz="0" w:space="0" w:color="auto"/>
        <w:right w:val="none" w:sz="0" w:space="0" w:color="auto"/>
      </w:divBdr>
    </w:div>
    <w:div w:id="1830051275">
      <w:bodyDiv w:val="1"/>
      <w:marLeft w:val="0"/>
      <w:marRight w:val="0"/>
      <w:marTop w:val="0"/>
      <w:marBottom w:val="0"/>
      <w:divBdr>
        <w:top w:val="none" w:sz="0" w:space="0" w:color="auto"/>
        <w:left w:val="none" w:sz="0" w:space="0" w:color="auto"/>
        <w:bottom w:val="none" w:sz="0" w:space="0" w:color="auto"/>
        <w:right w:val="none" w:sz="0" w:space="0" w:color="auto"/>
      </w:divBdr>
    </w:div>
    <w:div w:id="1995641455">
      <w:bodyDiv w:val="1"/>
      <w:marLeft w:val="0"/>
      <w:marRight w:val="0"/>
      <w:marTop w:val="0"/>
      <w:marBottom w:val="0"/>
      <w:divBdr>
        <w:top w:val="none" w:sz="0" w:space="0" w:color="auto"/>
        <w:left w:val="none" w:sz="0" w:space="0" w:color="auto"/>
        <w:bottom w:val="none" w:sz="0" w:space="0" w:color="auto"/>
        <w:right w:val="none" w:sz="0" w:space="0" w:color="auto"/>
      </w:divBdr>
      <w:divsChild>
        <w:div w:id="186489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220234">
      <w:bodyDiv w:val="1"/>
      <w:marLeft w:val="0"/>
      <w:marRight w:val="0"/>
      <w:marTop w:val="0"/>
      <w:marBottom w:val="0"/>
      <w:divBdr>
        <w:top w:val="none" w:sz="0" w:space="0" w:color="auto"/>
        <w:left w:val="none" w:sz="0" w:space="0" w:color="auto"/>
        <w:bottom w:val="none" w:sz="0" w:space="0" w:color="auto"/>
        <w:right w:val="none" w:sz="0" w:space="0" w:color="auto"/>
      </w:divBdr>
    </w:div>
    <w:div w:id="2096631146">
      <w:bodyDiv w:val="1"/>
      <w:marLeft w:val="0"/>
      <w:marRight w:val="0"/>
      <w:marTop w:val="0"/>
      <w:marBottom w:val="0"/>
      <w:divBdr>
        <w:top w:val="none" w:sz="0" w:space="0" w:color="auto"/>
        <w:left w:val="none" w:sz="0" w:space="0" w:color="auto"/>
        <w:bottom w:val="none" w:sz="0" w:space="0" w:color="auto"/>
        <w:right w:val="none" w:sz="0" w:space="0" w:color="auto"/>
      </w:divBdr>
      <w:divsChild>
        <w:div w:id="139966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B8CE4-6F90-43CE-886C-CF799A21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8548. What is “tax basis” and how is it used in determining the amount of a taxpayer’s capital gain or loss?</vt:lpstr>
    </vt:vector>
  </TitlesOfParts>
  <Company>Summit Business Media</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8548. What is “tax basis” and how is it used in determining the amount of a taxpayer’s capital gain or loss?</dc:title>
  <dc:creator>Alexis Long</dc:creator>
  <cp:lastModifiedBy>rcline</cp:lastModifiedBy>
  <cp:revision>2</cp:revision>
  <cp:lastPrinted>2013-08-28T20:59:00Z</cp:lastPrinted>
  <dcterms:created xsi:type="dcterms:W3CDTF">2014-08-21T13:12:00Z</dcterms:created>
  <dcterms:modified xsi:type="dcterms:W3CDTF">2014-08-21T13:12:00Z</dcterms:modified>
</cp:coreProperties>
</file>