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5" w:rsidRPr="00CF1475" w:rsidRDefault="00CF1475" w:rsidP="00B86944">
      <w:pPr>
        <w:pStyle w:val="PA"/>
        <w:rPr>
          <w:b/>
          <w:color w:val="auto"/>
        </w:rPr>
      </w:pPr>
      <w:r w:rsidRPr="00CF1475">
        <w:rPr>
          <w:b/>
          <w:color w:val="auto"/>
        </w:rPr>
        <w:t xml:space="preserve">8546.  What rates apply to capital gains property classified as Section 1250 property, Section 1202 </w:t>
      </w:r>
      <w:r w:rsidR="009417AD">
        <w:rPr>
          <w:b/>
          <w:color w:val="auto"/>
        </w:rPr>
        <w:t>stock</w:t>
      </w:r>
      <w:r w:rsidRPr="00CF1475">
        <w:rPr>
          <w:b/>
          <w:color w:val="auto"/>
        </w:rPr>
        <w:t xml:space="preserve"> or collectibles?</w:t>
      </w:r>
    </w:p>
    <w:p w:rsidR="00475112" w:rsidRDefault="00DF76AB" w:rsidP="00B86944">
      <w:pPr>
        <w:pStyle w:val="PA"/>
      </w:pPr>
      <w:r>
        <w:t xml:space="preserve">Gain attributable to the sale or exchange of collectibles, </w:t>
      </w:r>
      <w:r w:rsidR="00475112">
        <w:t xml:space="preserve">IRC Section 1202 gain (i.e., qualified small business stock), and unrecaptured IRC Section 1250 gain are </w:t>
      </w:r>
      <w:r>
        <w:t>subject to different tax rates.</w:t>
      </w:r>
      <w:r w:rsidR="00816BFC">
        <w:t xml:space="preserve"> </w:t>
      </w:r>
      <w:r w:rsidR="00475112">
        <w:t xml:space="preserve">Gain on the sale </w:t>
      </w:r>
      <w:r>
        <w:t xml:space="preserve">or exchange </w:t>
      </w:r>
      <w:r w:rsidR="00475112">
        <w:t>of collectibles and IRC Section 1202 property is taxed at 28 percent, and unrecaptured gain on IRC Section 1250 property is taxed at 25 percent.</w:t>
      </w:r>
      <w:r w:rsidR="00475112" w:rsidRPr="0074319B">
        <w:rPr>
          <w:vertAlign w:val="superscript"/>
        </w:rPr>
        <w:footnoteReference w:id="1"/>
      </w:r>
    </w:p>
    <w:p w:rsidR="00CE64DD" w:rsidRDefault="00CE64DD" w:rsidP="00941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17AD">
        <w:rPr>
          <w:sz w:val="24"/>
          <w:szCs w:val="24"/>
        </w:rPr>
        <w:t xml:space="preserve">“Collectibles gain” is </w:t>
      </w:r>
      <w:r>
        <w:rPr>
          <w:sz w:val="24"/>
          <w:szCs w:val="24"/>
        </w:rPr>
        <w:t xml:space="preserve">taxable </w:t>
      </w:r>
      <w:r w:rsidRPr="009417AD">
        <w:rPr>
          <w:sz w:val="24"/>
          <w:szCs w:val="24"/>
        </w:rPr>
        <w:t>gain on the sale or exchange of a collectible that is a capital asset held for more than one year</w:t>
      </w:r>
      <w:r w:rsidRPr="009417AD">
        <w:rPr>
          <w:sz w:val="24"/>
          <w:szCs w:val="24"/>
          <w:vertAlign w:val="superscript"/>
        </w:rPr>
        <w:footnoteReference w:id="2"/>
      </w:r>
      <w:r w:rsidRPr="009417AD">
        <w:rPr>
          <w:sz w:val="24"/>
          <w:szCs w:val="24"/>
        </w:rPr>
        <w:t xml:space="preserve"> Examples of collectibles include artwork, gems and coins.</w:t>
      </w:r>
      <w:r w:rsidRPr="009417AD">
        <w:rPr>
          <w:sz w:val="24"/>
          <w:szCs w:val="24"/>
          <w:vertAlign w:val="superscript"/>
        </w:rPr>
        <w:footnoteReference w:id="3"/>
      </w:r>
    </w:p>
    <w:p w:rsidR="00CE64DD" w:rsidRDefault="00CE64DD" w:rsidP="009417AD">
      <w:pPr>
        <w:jc w:val="both"/>
        <w:rPr>
          <w:sz w:val="24"/>
          <w:szCs w:val="24"/>
        </w:rPr>
      </w:pPr>
    </w:p>
    <w:p w:rsidR="004E29D5" w:rsidRDefault="00077A77" w:rsidP="00CE64DD">
      <w:pPr>
        <w:pStyle w:val="PA"/>
      </w:pPr>
      <w:r>
        <w:t xml:space="preserve">“Section 1202 gain” is the gain on the sale or exchange of section 1202 stock.  </w:t>
      </w:r>
      <w:r w:rsidR="00136FA0">
        <w:t>Pursuant to IRC Section 1202, an individual may exclude 50% of the taxable gain on the sale o</w:t>
      </w:r>
      <w:r w:rsidR="004225F4">
        <w:t xml:space="preserve">r exchange of “qualified small business stock” that is held for more than 5 years.  </w:t>
      </w:r>
      <w:r w:rsidR="004E29D5">
        <w:t xml:space="preserve">  </w:t>
      </w:r>
    </w:p>
    <w:p w:rsidR="009D17F0" w:rsidRDefault="00077A77" w:rsidP="00CE64DD">
      <w:pPr>
        <w:pStyle w:val="PA"/>
      </w:pPr>
      <w:r>
        <w:t>“</w:t>
      </w:r>
      <w:proofErr w:type="spellStart"/>
      <w:r>
        <w:t>Unrecaptured</w:t>
      </w:r>
      <w:proofErr w:type="spellEnd"/>
      <w:r>
        <w:t xml:space="preserve"> Section 1250 gain” is the portion of the gain on the sale or exchange of</w:t>
      </w:r>
      <w:r w:rsidR="009D17F0">
        <w:t xml:space="preserve"> real property</w:t>
      </w:r>
      <w:r>
        <w:t xml:space="preserve"> attributable to depreciation.  Nonresidential real property (such as commercial buildings) and residential rental property (such as apartment buildings)</w:t>
      </w:r>
      <w:r w:rsidR="009417AD">
        <w:t xml:space="preserve"> are section 1250 property and </w:t>
      </w:r>
      <w:r>
        <w:t>are depreciated under the straight line method (i.e., the same amount of depreciation is taken every tax year).</w:t>
      </w:r>
      <w:r>
        <w:rPr>
          <w:rStyle w:val="EndnoteReference"/>
        </w:rPr>
        <w:endnoteReference w:id="1"/>
      </w:r>
      <w:r w:rsidR="009D17F0">
        <w:t xml:space="preserve">  Each year’s depreciation reduces the basis of the real property by a like amount.</w:t>
      </w:r>
      <w:r w:rsidR="009D17F0">
        <w:rPr>
          <w:rStyle w:val="EndnoteReference"/>
        </w:rPr>
        <w:endnoteReference w:id="2"/>
      </w:r>
      <w:r>
        <w:t xml:space="preserve">  </w:t>
      </w:r>
      <w:r w:rsidR="009D17F0">
        <w:t>So when such real property is sold, the gain attributable to the</w:t>
      </w:r>
      <w:r w:rsidR="008F4C47">
        <w:t xml:space="preserve"> basis reduction is considered </w:t>
      </w:r>
      <w:proofErr w:type="spellStart"/>
      <w:r w:rsidR="008F4C47">
        <w:t>u</w:t>
      </w:r>
      <w:bookmarkStart w:id="0" w:name="_GoBack"/>
      <w:bookmarkEnd w:id="0"/>
      <w:r w:rsidR="009D17F0">
        <w:t>nrecaptured</w:t>
      </w:r>
      <w:proofErr w:type="spellEnd"/>
      <w:r w:rsidR="009D17F0">
        <w:t xml:space="preserve"> Section 1250 gain.</w:t>
      </w:r>
    </w:p>
    <w:p w:rsidR="00F4296A" w:rsidRDefault="009D17F0" w:rsidP="009417AD">
      <w:pPr>
        <w:pStyle w:val="PA"/>
      </w:pPr>
      <w:r>
        <w:rPr>
          <w:i/>
        </w:rPr>
        <w:t xml:space="preserve">Example.  </w:t>
      </w:r>
      <w:r>
        <w:t>Asher owns a commercial building with an original basis in the building of $500,000.  After several years, when the basis of the building had been reduced to $350,000, Asher sells the building for $500,000.  Even though the building did not appreciate, Asher has a gain of $150,000 ($500,000 minus $350,000), all of which is attributable to the depreciation reduction of basis.  Such gain is considered to be</w:t>
      </w:r>
      <w:r w:rsidR="0061408B">
        <w:t xml:space="preserve"> </w:t>
      </w:r>
      <w:proofErr w:type="spellStart"/>
      <w:r w:rsidR="0061408B">
        <w:t>u</w:t>
      </w:r>
      <w:r>
        <w:t>nrecaptured</w:t>
      </w:r>
      <w:proofErr w:type="spellEnd"/>
      <w:r>
        <w:t xml:space="preserve"> Section 1250 gain.   </w:t>
      </w:r>
    </w:p>
    <w:sectPr w:rsidR="00F4296A" w:rsidSect="00271A21">
      <w:footnotePr>
        <w:numRestart w:val="eachPage"/>
      </w:footnotePr>
      <w:endnotePr>
        <w:numFmt w:val="decimal"/>
        <w:numStart w:val="4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F9" w:rsidRDefault="00E265F9" w:rsidP="00F4296A">
      <w:r>
        <w:separator/>
      </w:r>
    </w:p>
  </w:endnote>
  <w:endnote w:type="continuationSeparator" w:id="0">
    <w:p w:rsidR="00E265F9" w:rsidRDefault="00E265F9" w:rsidP="00F4296A">
      <w:r>
        <w:continuationSeparator/>
      </w:r>
    </w:p>
  </w:endnote>
  <w:endnote w:id="1">
    <w:p w:rsidR="00077A77" w:rsidRPr="009417AD" w:rsidRDefault="00077A7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9D17F0">
        <w:rPr>
          <w:sz w:val="16"/>
          <w:szCs w:val="16"/>
        </w:rPr>
        <w:t>IRC Sec. 168(b</w:t>
      </w:r>
      <w:proofErr w:type="gramStart"/>
      <w:r w:rsidR="009D17F0">
        <w:rPr>
          <w:sz w:val="16"/>
          <w:szCs w:val="16"/>
        </w:rPr>
        <w:t>)(</w:t>
      </w:r>
      <w:proofErr w:type="gramEnd"/>
      <w:r w:rsidR="009D17F0">
        <w:rPr>
          <w:sz w:val="16"/>
          <w:szCs w:val="16"/>
        </w:rPr>
        <w:t>3)(A) and (B).</w:t>
      </w:r>
    </w:p>
  </w:endnote>
  <w:endnote w:id="2">
    <w:p w:rsidR="009D17F0" w:rsidRPr="009417AD" w:rsidRDefault="009D17F0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1016(a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2).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Times New Roman"/>
    <w:panose1 w:val="00000000000000000000"/>
    <w:charset w:val="00"/>
    <w:family w:val="roman"/>
    <w:notTrueType/>
    <w:pitch w:val="default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F9" w:rsidRDefault="00E265F9" w:rsidP="00F4296A">
      <w:r>
        <w:separator/>
      </w:r>
    </w:p>
  </w:footnote>
  <w:footnote w:type="continuationSeparator" w:id="0">
    <w:p w:rsidR="00E265F9" w:rsidRDefault="00E265F9" w:rsidP="00F4296A">
      <w:r>
        <w:continuationSeparator/>
      </w:r>
    </w:p>
  </w:footnote>
  <w:footnote w:id="1">
    <w:p w:rsidR="003566BE" w:rsidRPr="00156083" w:rsidRDefault="003566BE" w:rsidP="0074319B">
      <w:pPr>
        <w:pStyle w:val="PQ"/>
      </w:pPr>
      <w:r w:rsidRPr="00255005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 w:rsidRPr="00156083">
        <w:t>IRC Sec. 1(h).</w:t>
      </w:r>
    </w:p>
  </w:footnote>
  <w:footnote w:id="2">
    <w:p w:rsidR="00CE64DD" w:rsidRPr="00C85CD9" w:rsidRDefault="00CE64DD" w:rsidP="00CE64DD">
      <w:pPr>
        <w:pStyle w:val="PQ"/>
      </w:pPr>
      <w:r w:rsidRPr="00C85CD9">
        <w:footnoteRef/>
      </w:r>
      <w:r>
        <w:t>.</w:t>
      </w:r>
      <w:r>
        <w:tab/>
      </w:r>
      <w:r w:rsidRPr="00C85CD9">
        <w:t>IRC Sec. 1(h</w:t>
      </w:r>
      <w:proofErr w:type="gramStart"/>
      <w:r w:rsidRPr="00C85CD9">
        <w:t>)(</w:t>
      </w:r>
      <w:proofErr w:type="gramEnd"/>
      <w:r w:rsidRPr="00C85CD9">
        <w:t>5).</w:t>
      </w:r>
    </w:p>
  </w:footnote>
  <w:footnote w:id="3">
    <w:p w:rsidR="00CE64DD" w:rsidRPr="00C85CD9" w:rsidRDefault="00CE64DD" w:rsidP="00CE64DD">
      <w:pPr>
        <w:pStyle w:val="PQ"/>
      </w:pPr>
      <w:r w:rsidRPr="00C85CD9">
        <w:footnoteRef/>
      </w:r>
      <w:r>
        <w:t>.</w:t>
      </w:r>
      <w:r>
        <w:tab/>
      </w:r>
      <w:r w:rsidRPr="00C85CD9">
        <w:t>See IRC Sec. 408(m</w:t>
      </w:r>
      <w:proofErr w:type="gramStart"/>
      <w:r w:rsidRPr="00C85CD9">
        <w:t>)(</w:t>
      </w:r>
      <w:proofErr w:type="gramEnd"/>
      <w:r w:rsidRPr="00C85CD9">
        <w:t>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77A77"/>
    <w:rsid w:val="000A22B1"/>
    <w:rsid w:val="000A53C2"/>
    <w:rsid w:val="000C1776"/>
    <w:rsid w:val="000F4FD7"/>
    <w:rsid w:val="001018D5"/>
    <w:rsid w:val="00135C9D"/>
    <w:rsid w:val="00136FA0"/>
    <w:rsid w:val="001409E2"/>
    <w:rsid w:val="00144D20"/>
    <w:rsid w:val="0016358E"/>
    <w:rsid w:val="00170900"/>
    <w:rsid w:val="001941EE"/>
    <w:rsid w:val="001C40E6"/>
    <w:rsid w:val="001E64C8"/>
    <w:rsid w:val="001F52F4"/>
    <w:rsid w:val="001F73A2"/>
    <w:rsid w:val="00215C3D"/>
    <w:rsid w:val="00222145"/>
    <w:rsid w:val="002366F4"/>
    <w:rsid w:val="00255005"/>
    <w:rsid w:val="00271A21"/>
    <w:rsid w:val="00282D19"/>
    <w:rsid w:val="002D4314"/>
    <w:rsid w:val="00307DB9"/>
    <w:rsid w:val="003566BE"/>
    <w:rsid w:val="00366114"/>
    <w:rsid w:val="0039107B"/>
    <w:rsid w:val="004225F4"/>
    <w:rsid w:val="00442416"/>
    <w:rsid w:val="00453AA6"/>
    <w:rsid w:val="00475112"/>
    <w:rsid w:val="00491DE8"/>
    <w:rsid w:val="00494472"/>
    <w:rsid w:val="004B69F3"/>
    <w:rsid w:val="004D5C3E"/>
    <w:rsid w:val="004E29D5"/>
    <w:rsid w:val="004F216D"/>
    <w:rsid w:val="005243E3"/>
    <w:rsid w:val="00525224"/>
    <w:rsid w:val="0055012A"/>
    <w:rsid w:val="005963EF"/>
    <w:rsid w:val="005D0931"/>
    <w:rsid w:val="0061408B"/>
    <w:rsid w:val="006370D0"/>
    <w:rsid w:val="006451B3"/>
    <w:rsid w:val="00672FCA"/>
    <w:rsid w:val="0067311C"/>
    <w:rsid w:val="006767EC"/>
    <w:rsid w:val="006B60CB"/>
    <w:rsid w:val="006D7FA7"/>
    <w:rsid w:val="006F6498"/>
    <w:rsid w:val="00713384"/>
    <w:rsid w:val="00715A46"/>
    <w:rsid w:val="007175E6"/>
    <w:rsid w:val="007202C3"/>
    <w:rsid w:val="0074319B"/>
    <w:rsid w:val="00776F7C"/>
    <w:rsid w:val="007B24CA"/>
    <w:rsid w:val="007B49AE"/>
    <w:rsid w:val="007B5E18"/>
    <w:rsid w:val="007C495E"/>
    <w:rsid w:val="007D5C29"/>
    <w:rsid w:val="007F0BBA"/>
    <w:rsid w:val="007F4511"/>
    <w:rsid w:val="00816BFC"/>
    <w:rsid w:val="00835B27"/>
    <w:rsid w:val="00871A99"/>
    <w:rsid w:val="00893227"/>
    <w:rsid w:val="008B16D5"/>
    <w:rsid w:val="008B6162"/>
    <w:rsid w:val="008C20FB"/>
    <w:rsid w:val="008D3707"/>
    <w:rsid w:val="008D6FC8"/>
    <w:rsid w:val="008E70F4"/>
    <w:rsid w:val="008F4C47"/>
    <w:rsid w:val="0092753D"/>
    <w:rsid w:val="009417AD"/>
    <w:rsid w:val="009934EF"/>
    <w:rsid w:val="00996082"/>
    <w:rsid w:val="009C5F6E"/>
    <w:rsid w:val="009D17F0"/>
    <w:rsid w:val="009E4C36"/>
    <w:rsid w:val="00A02AF1"/>
    <w:rsid w:val="00A1572A"/>
    <w:rsid w:val="00A20C49"/>
    <w:rsid w:val="00A53374"/>
    <w:rsid w:val="00A540B7"/>
    <w:rsid w:val="00A96188"/>
    <w:rsid w:val="00AE4D8A"/>
    <w:rsid w:val="00AF5D01"/>
    <w:rsid w:val="00B31555"/>
    <w:rsid w:val="00B7149F"/>
    <w:rsid w:val="00B86944"/>
    <w:rsid w:val="00BC0EC2"/>
    <w:rsid w:val="00BF3D51"/>
    <w:rsid w:val="00C13EFA"/>
    <w:rsid w:val="00C15AB8"/>
    <w:rsid w:val="00C82361"/>
    <w:rsid w:val="00C979CC"/>
    <w:rsid w:val="00CA2508"/>
    <w:rsid w:val="00CD3D7E"/>
    <w:rsid w:val="00CD6002"/>
    <w:rsid w:val="00CE64DD"/>
    <w:rsid w:val="00CF1475"/>
    <w:rsid w:val="00CF6495"/>
    <w:rsid w:val="00D128C3"/>
    <w:rsid w:val="00D223DC"/>
    <w:rsid w:val="00D243A7"/>
    <w:rsid w:val="00D36C53"/>
    <w:rsid w:val="00D45E0D"/>
    <w:rsid w:val="00D81626"/>
    <w:rsid w:val="00DA7231"/>
    <w:rsid w:val="00DE3662"/>
    <w:rsid w:val="00DF76AB"/>
    <w:rsid w:val="00E03171"/>
    <w:rsid w:val="00E25EBE"/>
    <w:rsid w:val="00E265F9"/>
    <w:rsid w:val="00E373C3"/>
    <w:rsid w:val="00E728D7"/>
    <w:rsid w:val="00E853E9"/>
    <w:rsid w:val="00E86B42"/>
    <w:rsid w:val="00E86CF5"/>
    <w:rsid w:val="00E918A0"/>
    <w:rsid w:val="00EA280B"/>
    <w:rsid w:val="00EC07A2"/>
    <w:rsid w:val="00EC7AA5"/>
    <w:rsid w:val="00EE44FD"/>
    <w:rsid w:val="00F37136"/>
    <w:rsid w:val="00F4296A"/>
    <w:rsid w:val="00F53618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9107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9107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9107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9107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9107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9107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39107B"/>
    <w:rPr>
      <w:rFonts w:ascii="Perpetua Std" w:hAnsi="Perpetua Std"/>
      <w:color w:val="000000"/>
      <w:sz w:val="24"/>
    </w:rPr>
  </w:style>
  <w:style w:type="paragraph" w:customStyle="1" w:styleId="PB">
    <w:name w:val="PB"/>
    <w:rsid w:val="0039107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9107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9107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9107B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39107B"/>
    <w:rPr>
      <w:vertAlign w:val="superscript"/>
    </w:rPr>
  </w:style>
  <w:style w:type="paragraph" w:customStyle="1" w:styleId="HD">
    <w:name w:val="HD"/>
    <w:rsid w:val="0039107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9107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3910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3910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39107B"/>
    <w:pPr>
      <w:spacing w:before="144"/>
      <w:jc w:val="both"/>
    </w:pPr>
    <w:rPr>
      <w:noProof/>
    </w:rPr>
  </w:style>
  <w:style w:type="paragraph" w:customStyle="1" w:styleId="PD">
    <w:name w:val="PD"/>
    <w:rsid w:val="0039107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9107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9107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9107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9107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9107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9107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9107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9107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9107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9107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9107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9107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9107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9107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9107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9107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9107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9107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9107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9107B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9107B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9107B"/>
    <w:rPr>
      <w:rFonts w:ascii="Perpetua Std" w:hAnsi="Perpetua Std"/>
    </w:rPr>
  </w:style>
  <w:style w:type="paragraph" w:styleId="NoSpacing">
    <w:name w:val="No Spacing"/>
    <w:qFormat/>
    <w:rsid w:val="0039107B"/>
    <w:rPr>
      <w:rFonts w:ascii="Perpetua" w:hAnsi="Perpetua"/>
    </w:rPr>
  </w:style>
  <w:style w:type="paragraph" w:customStyle="1" w:styleId="PCA">
    <w:name w:val="PCA"/>
    <w:rsid w:val="0039107B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9107B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9107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077A77"/>
  </w:style>
  <w:style w:type="character" w:customStyle="1" w:styleId="EndnoteTextChar">
    <w:name w:val="Endnote Text Char"/>
    <w:basedOn w:val="DefaultParagraphFont"/>
    <w:link w:val="EndnoteText"/>
    <w:semiHidden/>
    <w:rsid w:val="00077A77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077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9107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9107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9107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9107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9107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9107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39107B"/>
    <w:rPr>
      <w:rFonts w:ascii="Perpetua Std" w:hAnsi="Perpetua Std"/>
      <w:color w:val="000000"/>
      <w:sz w:val="24"/>
    </w:rPr>
  </w:style>
  <w:style w:type="paragraph" w:customStyle="1" w:styleId="PB">
    <w:name w:val="PB"/>
    <w:rsid w:val="0039107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9107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9107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9107B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39107B"/>
    <w:rPr>
      <w:vertAlign w:val="superscript"/>
    </w:rPr>
  </w:style>
  <w:style w:type="paragraph" w:customStyle="1" w:styleId="HD">
    <w:name w:val="HD"/>
    <w:rsid w:val="0039107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9107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3910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3910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39107B"/>
    <w:pPr>
      <w:spacing w:before="144"/>
      <w:jc w:val="both"/>
    </w:pPr>
    <w:rPr>
      <w:noProof/>
    </w:rPr>
  </w:style>
  <w:style w:type="paragraph" w:customStyle="1" w:styleId="PD">
    <w:name w:val="PD"/>
    <w:rsid w:val="0039107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9107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9107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9107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9107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9107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9107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9107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9107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9107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9107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9107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9107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9107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9107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9107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9107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9107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9107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9107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9107B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9107B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9107B"/>
    <w:rPr>
      <w:rFonts w:ascii="Perpetua Std" w:hAnsi="Perpetua Std"/>
    </w:rPr>
  </w:style>
  <w:style w:type="paragraph" w:styleId="NoSpacing">
    <w:name w:val="No Spacing"/>
    <w:qFormat/>
    <w:rsid w:val="0039107B"/>
    <w:rPr>
      <w:rFonts w:ascii="Perpetua" w:hAnsi="Perpetua"/>
    </w:rPr>
  </w:style>
  <w:style w:type="paragraph" w:customStyle="1" w:styleId="PCA">
    <w:name w:val="PCA"/>
    <w:rsid w:val="0039107B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9107B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9107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077A77"/>
  </w:style>
  <w:style w:type="character" w:customStyle="1" w:styleId="EndnoteTextChar">
    <w:name w:val="Endnote Text Char"/>
    <w:basedOn w:val="DefaultParagraphFont"/>
    <w:link w:val="EndnoteText"/>
    <w:semiHidden/>
    <w:rsid w:val="00077A77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077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901E-B1A4-48BC-89E4-AB53962B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8546. What rates apply to capital gains property that is classified as Section 1250 property, Section 1202 property or collectibles property?</vt:lpstr>
    </vt:vector>
  </TitlesOfParts>
  <Company>Summit Business Media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8546. What rates apply to capital gains property that is classified as Section 1250 property, Section 1202 property or collectibles property?</dc:title>
  <dc:creator>Alexis Long</dc:creator>
  <cp:lastModifiedBy>rcline</cp:lastModifiedBy>
  <cp:revision>2</cp:revision>
  <cp:lastPrinted>2013-08-28T20:59:00Z</cp:lastPrinted>
  <dcterms:created xsi:type="dcterms:W3CDTF">2014-09-21T14:40:00Z</dcterms:created>
  <dcterms:modified xsi:type="dcterms:W3CDTF">2014-09-21T14:40:00Z</dcterms:modified>
</cp:coreProperties>
</file>