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50D" w:rsidRPr="0096550D" w:rsidRDefault="006F1A44" w:rsidP="00097038">
      <w:pPr>
        <w:pStyle w:val="PA"/>
        <w:rPr>
          <w:b/>
          <w:iCs/>
        </w:rPr>
      </w:pPr>
      <w:r>
        <w:rPr>
          <w:b/>
          <w:iCs/>
        </w:rPr>
        <w:t>8534.  What are the social s</w:t>
      </w:r>
      <w:bookmarkStart w:id="0" w:name="_GoBack"/>
      <w:bookmarkEnd w:id="0"/>
      <w:r w:rsidR="0096550D" w:rsidRPr="0096550D">
        <w:rPr>
          <w:b/>
          <w:iCs/>
        </w:rPr>
        <w:t xml:space="preserve">ecurity </w:t>
      </w:r>
      <w:r w:rsidR="00384409">
        <w:rPr>
          <w:b/>
          <w:iCs/>
        </w:rPr>
        <w:t xml:space="preserve">and Medicare </w:t>
      </w:r>
      <w:r w:rsidR="0096550D" w:rsidRPr="0096550D">
        <w:rPr>
          <w:b/>
          <w:iCs/>
        </w:rPr>
        <w:t>tax rates for traditional employees and employers?</w:t>
      </w:r>
    </w:p>
    <w:p w:rsidR="0096550D" w:rsidRDefault="0096550D" w:rsidP="00097038">
      <w:pPr>
        <w:pStyle w:val="PA"/>
        <w:rPr>
          <w:iCs/>
        </w:rPr>
      </w:pPr>
    </w:p>
    <w:p w:rsidR="00DE3668" w:rsidRPr="00DE3668" w:rsidRDefault="00384409" w:rsidP="00384409">
      <w:pPr>
        <w:pStyle w:val="PA"/>
        <w:ind w:firstLine="0"/>
        <w:rPr>
          <w:rFonts w:ascii="Times New Roman" w:hAnsi="Times New Roman"/>
          <w:szCs w:val="24"/>
        </w:rPr>
      </w:pPr>
      <w:r w:rsidRPr="00DE3668">
        <w:rPr>
          <w:szCs w:val="24"/>
        </w:rPr>
        <w:t xml:space="preserve">    </w:t>
      </w:r>
      <w:r w:rsidRPr="00DE3668">
        <w:rPr>
          <w:rFonts w:ascii="Times New Roman" w:hAnsi="Times New Roman"/>
          <w:szCs w:val="24"/>
        </w:rPr>
        <w:t>The social security tax and Medicare tax rates are the same on the wage income of a wage earner and as they are on the self-employment income of a self-employed individual.  However, the operative statute for the imposition of payroll taxes on wage earners is the Federal Insurance Contributions Act (the “FICA tax”).</w:t>
      </w:r>
      <w:r w:rsidRPr="00DE3668">
        <w:rPr>
          <w:rStyle w:val="EndnoteReference"/>
          <w:rFonts w:ascii="Times New Roman" w:hAnsi="Times New Roman"/>
          <w:szCs w:val="24"/>
        </w:rPr>
        <w:endnoteReference w:id="1"/>
      </w:r>
      <w:r w:rsidRPr="00DE3668">
        <w:rPr>
          <w:rFonts w:ascii="Times New Roman" w:hAnsi="Times New Roman"/>
          <w:szCs w:val="24"/>
        </w:rPr>
        <w:t xml:space="preserve">   Unlike the self-employed, the liability for FICA tax imposed on the wages of a wage earner is split equally between the employee and the employer.  In other words, the employee and the employer are each responsible for 6.2% of the 12.4% of social security tax and for 1.45% of the 2.9% of Medicare tax.</w:t>
      </w:r>
      <w:r w:rsidRPr="00DE3668">
        <w:rPr>
          <w:rStyle w:val="EndnoteReference"/>
          <w:rFonts w:ascii="Times New Roman" w:hAnsi="Times New Roman"/>
          <w:szCs w:val="24"/>
        </w:rPr>
        <w:endnoteReference w:id="2"/>
      </w:r>
      <w:r w:rsidRPr="00DE3668">
        <w:rPr>
          <w:rFonts w:ascii="Times New Roman" w:hAnsi="Times New Roman"/>
          <w:szCs w:val="24"/>
        </w:rPr>
        <w:t xml:space="preserve">  </w:t>
      </w:r>
    </w:p>
    <w:p w:rsidR="00384409" w:rsidRPr="00DE3668" w:rsidRDefault="00DE3668" w:rsidP="00DE3668">
      <w:pPr>
        <w:pStyle w:val="PA"/>
        <w:ind w:firstLine="0"/>
        <w:rPr>
          <w:rFonts w:ascii="Times New Roman" w:hAnsi="Times New Roman"/>
          <w:szCs w:val="24"/>
        </w:rPr>
      </w:pPr>
      <w:r w:rsidRPr="00DE3668">
        <w:rPr>
          <w:rFonts w:ascii="Times New Roman" w:hAnsi="Times New Roman"/>
          <w:szCs w:val="24"/>
        </w:rPr>
        <w:t xml:space="preserve">     </w:t>
      </w:r>
      <w:r w:rsidR="00384409" w:rsidRPr="00DE3668">
        <w:rPr>
          <w:rFonts w:ascii="Times New Roman" w:hAnsi="Times New Roman"/>
          <w:szCs w:val="24"/>
        </w:rPr>
        <w:t>Although the social security tax rate is much higher than the Medicare tax rate, it is capped at a certain amount of wages as adjusted annually for inflation.  So, wages in excess of the cap amount are no longer subject to social security tax.  For 2014, the social security tax caps at wages of $117,000.</w:t>
      </w:r>
      <w:r w:rsidR="00384409" w:rsidRPr="00DE3668">
        <w:rPr>
          <w:rStyle w:val="EndnoteReference"/>
          <w:rFonts w:ascii="Times New Roman" w:hAnsi="Times New Roman"/>
          <w:szCs w:val="24"/>
        </w:rPr>
        <w:endnoteReference w:id="3"/>
      </w:r>
      <w:r w:rsidR="00384409" w:rsidRPr="00DE3668">
        <w:rPr>
          <w:rFonts w:ascii="Times New Roman" w:hAnsi="Times New Roman"/>
          <w:szCs w:val="24"/>
        </w:rPr>
        <w:t xml:space="preserve">  Thus, the maximum amount of social security tax liability for the employee and employee shares would be $14,508 (12.4% * $117,000), or $7,254 each.  </w:t>
      </w:r>
    </w:p>
    <w:p w:rsidR="00DE3668" w:rsidRDefault="00384409" w:rsidP="00DE3668">
      <w:pPr>
        <w:jc w:val="both"/>
        <w:rPr>
          <w:rFonts w:ascii="Times New Roman" w:hAnsi="Times New Roman"/>
          <w:sz w:val="24"/>
          <w:szCs w:val="24"/>
        </w:rPr>
      </w:pPr>
      <w:r w:rsidRPr="00DE3668">
        <w:rPr>
          <w:rFonts w:ascii="Times New Roman" w:hAnsi="Times New Roman"/>
          <w:sz w:val="24"/>
          <w:szCs w:val="24"/>
        </w:rPr>
        <w:t xml:space="preserve">    On the other hand, there is no cap on the Medicare tax.  This means the combined employer/employee 2.9% tax rate will be imposed on all wages without limit.  So, for 2014, although the imposition of social security tax ceases on wages in excess of $117,000, the imposition of Medicare tax continues to be imposed on all excess wages.  Moreover, effective for tax years beginning after December 31, 2012, subject to filing status thresholds, there is an Additional Medicare Surtax of 0.9% added to the 1.45% rate on the employee portion of the Medicare tax.  </w:t>
      </w:r>
    </w:p>
    <w:p w:rsidR="00427B74" w:rsidRPr="00532B64" w:rsidRDefault="00427B74" w:rsidP="00DE3668">
      <w:pPr>
        <w:jc w:val="both"/>
      </w:pPr>
    </w:p>
    <w:p w:rsidR="004E7836" w:rsidRPr="004E7836" w:rsidRDefault="004E7836" w:rsidP="004E7836"/>
    <w:sectPr w:rsidR="004E7836" w:rsidRPr="004E7836" w:rsidSect="00271A21">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586" w:rsidRDefault="007A6586" w:rsidP="006F074C">
      <w:r>
        <w:separator/>
      </w:r>
    </w:p>
  </w:endnote>
  <w:endnote w:type="continuationSeparator" w:id="0">
    <w:p w:rsidR="007A6586" w:rsidRDefault="007A6586" w:rsidP="006F074C">
      <w:r>
        <w:continuationSeparator/>
      </w:r>
    </w:p>
  </w:endnote>
  <w:endnote w:id="1">
    <w:p w:rsidR="00384409" w:rsidRPr="007643D3" w:rsidRDefault="00384409" w:rsidP="00384409">
      <w:pPr>
        <w:pStyle w:val="PQ"/>
      </w:pPr>
      <w:r w:rsidRPr="007643D3">
        <w:rPr>
          <w:rStyle w:val="EndnoteReference"/>
        </w:rPr>
        <w:endnoteRef/>
      </w:r>
      <w:r>
        <w:t>.</w:t>
      </w:r>
      <w:r>
        <w:tab/>
      </w:r>
      <w:proofErr w:type="gramStart"/>
      <w:r>
        <w:t xml:space="preserve">Codified as Chapter 21 of the Internal Revenue Code, IRC </w:t>
      </w:r>
      <w:proofErr w:type="spellStart"/>
      <w:r>
        <w:t>Secs</w:t>
      </w:r>
      <w:proofErr w:type="spellEnd"/>
      <w:r>
        <w:t>.</w:t>
      </w:r>
      <w:proofErr w:type="gramEnd"/>
      <w:r>
        <w:t xml:space="preserve"> 3101-3128.</w:t>
      </w:r>
    </w:p>
  </w:endnote>
  <w:endnote w:id="2">
    <w:p w:rsidR="00384409" w:rsidRPr="00D93B4B" w:rsidRDefault="00384409" w:rsidP="00384409">
      <w:pPr>
        <w:pStyle w:val="PQ"/>
      </w:pPr>
      <w:r w:rsidRPr="004B0A52">
        <w:rPr>
          <w:rStyle w:val="EndnoteReference"/>
          <w:szCs w:val="16"/>
        </w:rPr>
        <w:endnoteRef/>
      </w:r>
      <w:r w:rsidRPr="004B0A52">
        <w:rPr>
          <w:szCs w:val="16"/>
        </w:rPr>
        <w:t>.</w:t>
      </w:r>
      <w:r w:rsidRPr="00D93B4B">
        <w:tab/>
        <w:t xml:space="preserve">IRC </w:t>
      </w:r>
      <w:proofErr w:type="spellStart"/>
      <w:r w:rsidRPr="00D93B4B">
        <w:t>Sec</w:t>
      </w:r>
      <w:r>
        <w:t>s</w:t>
      </w:r>
      <w:proofErr w:type="spellEnd"/>
      <w:r w:rsidRPr="00D93B4B">
        <w:t xml:space="preserve">. </w:t>
      </w:r>
      <w:proofErr w:type="gramStart"/>
      <w:r>
        <w:t>3101(a), 3111(a), 3101(b) and 3111(b)</w:t>
      </w:r>
      <w:r w:rsidRPr="00D93B4B">
        <w:t>.</w:t>
      </w:r>
      <w:proofErr w:type="gramEnd"/>
      <w:r>
        <w:t xml:space="preserve">  </w:t>
      </w:r>
    </w:p>
  </w:endnote>
  <w:endnote w:id="3">
    <w:p w:rsidR="00384409" w:rsidRPr="007643D3" w:rsidRDefault="00384409" w:rsidP="00384409">
      <w:pPr>
        <w:pStyle w:val="PQ"/>
      </w:pPr>
      <w:r w:rsidRPr="007643D3">
        <w:rPr>
          <w:rStyle w:val="EndnoteReference"/>
        </w:rPr>
        <w:endnoteRef/>
      </w:r>
      <w:r>
        <w:t>.</w:t>
      </w:r>
      <w:r>
        <w:tab/>
        <w:t>Press Release, Social Security Administration (October 13,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Perpetua">
    <w:altName w:val="Baskerville Old Face"/>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586" w:rsidRDefault="007A6586" w:rsidP="006F074C">
      <w:r>
        <w:separator/>
      </w:r>
    </w:p>
  </w:footnote>
  <w:footnote w:type="continuationSeparator" w:id="0">
    <w:p w:rsidR="007A6586" w:rsidRDefault="007A6586" w:rsidP="006F0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7"/>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720"/>
      </w:pPr>
      <w:rPr>
        <w:rFonts w:hint="default"/>
        <w:position w:val="0"/>
      </w:rPr>
    </w:lvl>
    <w:lvl w:ilvl="2">
      <w:start w:val="1"/>
      <w:numFmt w:val="decimal"/>
      <w:isLgl/>
      <w:lvlText w:val="(%3)"/>
      <w:lvlJc w:val="left"/>
      <w:pPr>
        <w:tabs>
          <w:tab w:val="num" w:pos="360"/>
        </w:tabs>
        <w:ind w:left="360" w:firstLine="1440"/>
      </w:pPr>
      <w:rPr>
        <w:rFonts w:hint="default"/>
        <w:position w:val="0"/>
      </w:rPr>
    </w:lvl>
    <w:lvl w:ilvl="3">
      <w:start w:val="1"/>
      <w:numFmt w:val="decimal"/>
      <w:isLgl/>
      <w:lvlText w:val="(%4)"/>
      <w:lvlJc w:val="left"/>
      <w:pPr>
        <w:tabs>
          <w:tab w:val="num" w:pos="360"/>
        </w:tabs>
        <w:ind w:left="360" w:firstLine="2160"/>
      </w:pPr>
      <w:rPr>
        <w:rFonts w:hint="default"/>
        <w:position w:val="0"/>
      </w:rPr>
    </w:lvl>
    <w:lvl w:ilvl="4">
      <w:start w:val="1"/>
      <w:numFmt w:val="decimal"/>
      <w:isLgl/>
      <w:lvlText w:val="(%5)"/>
      <w:lvlJc w:val="left"/>
      <w:pPr>
        <w:tabs>
          <w:tab w:val="num" w:pos="360"/>
        </w:tabs>
        <w:ind w:left="360" w:firstLine="2880"/>
      </w:pPr>
      <w:rPr>
        <w:rFonts w:hint="default"/>
        <w:position w:val="0"/>
      </w:rPr>
    </w:lvl>
    <w:lvl w:ilvl="5">
      <w:start w:val="1"/>
      <w:numFmt w:val="decimal"/>
      <w:isLgl/>
      <w:lvlText w:val="(%6)"/>
      <w:lvlJc w:val="left"/>
      <w:pPr>
        <w:tabs>
          <w:tab w:val="num" w:pos="360"/>
        </w:tabs>
        <w:ind w:left="360" w:firstLine="3600"/>
      </w:pPr>
      <w:rPr>
        <w:rFonts w:hint="default"/>
        <w:position w:val="0"/>
      </w:rPr>
    </w:lvl>
    <w:lvl w:ilvl="6">
      <w:start w:val="1"/>
      <w:numFmt w:val="decimal"/>
      <w:isLgl/>
      <w:lvlText w:val="(%7)"/>
      <w:lvlJc w:val="left"/>
      <w:pPr>
        <w:tabs>
          <w:tab w:val="num" w:pos="360"/>
        </w:tabs>
        <w:ind w:left="360" w:firstLine="4320"/>
      </w:pPr>
      <w:rPr>
        <w:rFonts w:hint="default"/>
        <w:position w:val="0"/>
      </w:rPr>
    </w:lvl>
    <w:lvl w:ilvl="7">
      <w:start w:val="1"/>
      <w:numFmt w:val="decimal"/>
      <w:isLgl/>
      <w:lvlText w:val="(%8)"/>
      <w:lvlJc w:val="left"/>
      <w:pPr>
        <w:tabs>
          <w:tab w:val="num" w:pos="360"/>
        </w:tabs>
        <w:ind w:left="360" w:firstLine="5040"/>
      </w:pPr>
      <w:rPr>
        <w:rFonts w:hint="default"/>
        <w:position w:val="0"/>
      </w:rPr>
    </w:lvl>
    <w:lvl w:ilvl="8">
      <w:start w:val="1"/>
      <w:numFmt w:val="decimal"/>
      <w:isLgl/>
      <w:lvlText w:val="(%9)"/>
      <w:lvlJc w:val="left"/>
      <w:pPr>
        <w:tabs>
          <w:tab w:val="num" w:pos="360"/>
        </w:tabs>
        <w:ind w:left="360" w:firstLine="5760"/>
      </w:pPr>
      <w:rPr>
        <w:rFonts w:hint="default"/>
        <w:position w:val="0"/>
      </w:rPr>
    </w:lvl>
  </w:abstractNum>
  <w:abstractNum w:abstractNumId="1">
    <w:nsid w:val="01B65D04"/>
    <w:multiLevelType w:val="hybridMultilevel"/>
    <w:tmpl w:val="5EC0565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152CDE"/>
    <w:multiLevelType w:val="hybridMultilevel"/>
    <w:tmpl w:val="16CE55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072E76"/>
    <w:multiLevelType w:val="hybridMultilevel"/>
    <w:tmpl w:val="BFF46874"/>
    <w:lvl w:ilvl="0" w:tplc="0409000F">
      <w:start w:val="1"/>
      <w:numFmt w:val="decimal"/>
      <w:lvlText w:val="%1."/>
      <w:lvlJc w:val="left"/>
      <w:pPr>
        <w:ind w:left="9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32237DC"/>
    <w:multiLevelType w:val="hybridMultilevel"/>
    <w:tmpl w:val="ED42B81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4763935"/>
    <w:multiLevelType w:val="hybridMultilevel"/>
    <w:tmpl w:val="AD063F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16311D34"/>
    <w:multiLevelType w:val="hybridMultilevel"/>
    <w:tmpl w:val="3A4015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275B1591"/>
    <w:multiLevelType w:val="hybridMultilevel"/>
    <w:tmpl w:val="87483FBA"/>
    <w:lvl w:ilvl="0" w:tplc="0409000F">
      <w:start w:val="1"/>
      <w:numFmt w:val="decimal"/>
      <w:lvlText w:val="%1."/>
      <w:lvlJc w:val="left"/>
      <w:pPr>
        <w:ind w:left="9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ABB0CF0"/>
    <w:multiLevelType w:val="hybridMultilevel"/>
    <w:tmpl w:val="88D830E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38893208"/>
    <w:multiLevelType w:val="hybridMultilevel"/>
    <w:tmpl w:val="914C9F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4AB6625A"/>
    <w:multiLevelType w:val="hybridMultilevel"/>
    <w:tmpl w:val="CEB2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BE334A"/>
    <w:multiLevelType w:val="hybridMultilevel"/>
    <w:tmpl w:val="D98E95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52084466"/>
    <w:multiLevelType w:val="hybridMultilevel"/>
    <w:tmpl w:val="5C186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1B2CBE"/>
    <w:multiLevelType w:val="singleLevel"/>
    <w:tmpl w:val="0409000F"/>
    <w:lvl w:ilvl="0">
      <w:start w:val="1"/>
      <w:numFmt w:val="decimal"/>
      <w:lvlText w:val="%1."/>
      <w:lvlJc w:val="left"/>
      <w:pPr>
        <w:tabs>
          <w:tab w:val="num" w:pos="360"/>
        </w:tabs>
        <w:ind w:left="360" w:hanging="360"/>
      </w:pPr>
    </w:lvl>
  </w:abstractNum>
  <w:abstractNum w:abstractNumId="20">
    <w:nsid w:val="54DC48F3"/>
    <w:multiLevelType w:val="hybridMultilevel"/>
    <w:tmpl w:val="20CEF1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DCD4640"/>
    <w:multiLevelType w:val="hybridMultilevel"/>
    <w:tmpl w:val="D84A26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63E765D5"/>
    <w:multiLevelType w:val="hybridMultilevel"/>
    <w:tmpl w:val="E3A6E1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nsid w:val="6A546E28"/>
    <w:multiLevelType w:val="hybridMultilevel"/>
    <w:tmpl w:val="8814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686C85"/>
    <w:multiLevelType w:val="hybridMultilevel"/>
    <w:tmpl w:val="B7E8C7F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9">
    <w:nsid w:val="7F257861"/>
    <w:multiLevelType w:val="hybridMultilevel"/>
    <w:tmpl w:val="1AA0ECD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9"/>
  </w:num>
  <w:num w:numId="3">
    <w:abstractNumId w:val="24"/>
  </w:num>
  <w:num w:numId="4">
    <w:abstractNumId w:val="15"/>
  </w:num>
  <w:num w:numId="5">
    <w:abstractNumId w:val="9"/>
  </w:num>
  <w:num w:numId="6">
    <w:abstractNumId w:val="18"/>
  </w:num>
  <w:num w:numId="7">
    <w:abstractNumId w:val="21"/>
  </w:num>
  <w:num w:numId="8">
    <w:abstractNumId w:val="6"/>
  </w:num>
  <w:num w:numId="9">
    <w:abstractNumId w:val="1"/>
  </w:num>
  <w:num w:numId="10">
    <w:abstractNumId w:val="14"/>
  </w:num>
  <w:num w:numId="11">
    <w:abstractNumId w:val="20"/>
  </w:num>
  <w:num w:numId="12">
    <w:abstractNumId w:val="26"/>
  </w:num>
  <w:num w:numId="13">
    <w:abstractNumId w:val="5"/>
  </w:num>
  <w:num w:numId="14">
    <w:abstractNumId w:val="22"/>
  </w:num>
  <w:num w:numId="15">
    <w:abstractNumId w:val="8"/>
  </w:num>
  <w:num w:numId="16">
    <w:abstractNumId w:val="7"/>
  </w:num>
  <w:num w:numId="17">
    <w:abstractNumId w:val="11"/>
  </w:num>
  <w:num w:numId="18">
    <w:abstractNumId w:val="17"/>
  </w:num>
  <w:num w:numId="19">
    <w:abstractNumId w:val="10"/>
  </w:num>
  <w:num w:numId="20">
    <w:abstractNumId w:val="23"/>
  </w:num>
  <w:num w:numId="21">
    <w:abstractNumId w:val="2"/>
  </w:num>
  <w:num w:numId="22">
    <w:abstractNumId w:val="13"/>
  </w:num>
  <w:num w:numId="23">
    <w:abstractNumId w:val="28"/>
  </w:num>
  <w:num w:numId="24">
    <w:abstractNumId w:val="12"/>
  </w:num>
  <w:num w:numId="25">
    <w:abstractNumId w:val="19"/>
  </w:num>
  <w:num w:numId="26">
    <w:abstractNumId w:val="3"/>
  </w:num>
  <w:num w:numId="27">
    <w:abstractNumId w:val="4"/>
  </w:num>
  <w:num w:numId="28">
    <w:abstractNumId w:val="25"/>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FB"/>
    <w:rsid w:val="00007B43"/>
    <w:rsid w:val="0001174C"/>
    <w:rsid w:val="000201D4"/>
    <w:rsid w:val="00026F86"/>
    <w:rsid w:val="00037960"/>
    <w:rsid w:val="00043906"/>
    <w:rsid w:val="000465CA"/>
    <w:rsid w:val="0008018A"/>
    <w:rsid w:val="00083567"/>
    <w:rsid w:val="00086884"/>
    <w:rsid w:val="000925AB"/>
    <w:rsid w:val="00097038"/>
    <w:rsid w:val="000A2B66"/>
    <w:rsid w:val="000A6CAB"/>
    <w:rsid w:val="000B6372"/>
    <w:rsid w:val="000D258D"/>
    <w:rsid w:val="000D6146"/>
    <w:rsid w:val="000E6BBB"/>
    <w:rsid w:val="00114F5B"/>
    <w:rsid w:val="00116205"/>
    <w:rsid w:val="001244E9"/>
    <w:rsid w:val="00141FAB"/>
    <w:rsid w:val="001739C0"/>
    <w:rsid w:val="0017741C"/>
    <w:rsid w:val="00190E67"/>
    <w:rsid w:val="00197132"/>
    <w:rsid w:val="0019748C"/>
    <w:rsid w:val="001A05A6"/>
    <w:rsid w:val="001A2727"/>
    <w:rsid w:val="001D0595"/>
    <w:rsid w:val="001E1AC3"/>
    <w:rsid w:val="001F52F4"/>
    <w:rsid w:val="002000C6"/>
    <w:rsid w:val="00202A9B"/>
    <w:rsid w:val="00202F50"/>
    <w:rsid w:val="002040BD"/>
    <w:rsid w:val="00212ED8"/>
    <w:rsid w:val="00231C02"/>
    <w:rsid w:val="00242C92"/>
    <w:rsid w:val="00243A4C"/>
    <w:rsid w:val="00264FD9"/>
    <w:rsid w:val="00271A21"/>
    <w:rsid w:val="00287277"/>
    <w:rsid w:val="002B58F5"/>
    <w:rsid w:val="002E46AF"/>
    <w:rsid w:val="002E4BFB"/>
    <w:rsid w:val="002F6745"/>
    <w:rsid w:val="00310C38"/>
    <w:rsid w:val="0032167A"/>
    <w:rsid w:val="00323E1D"/>
    <w:rsid w:val="00327BDB"/>
    <w:rsid w:val="00355BC4"/>
    <w:rsid w:val="00360557"/>
    <w:rsid w:val="00377919"/>
    <w:rsid w:val="00384409"/>
    <w:rsid w:val="003B1DF7"/>
    <w:rsid w:val="003B450F"/>
    <w:rsid w:val="003B65D8"/>
    <w:rsid w:val="003C1548"/>
    <w:rsid w:val="003F00D7"/>
    <w:rsid w:val="003F05E5"/>
    <w:rsid w:val="00407D8B"/>
    <w:rsid w:val="004167F4"/>
    <w:rsid w:val="00427B74"/>
    <w:rsid w:val="00435B94"/>
    <w:rsid w:val="004454DB"/>
    <w:rsid w:val="00456493"/>
    <w:rsid w:val="004629F4"/>
    <w:rsid w:val="00474C65"/>
    <w:rsid w:val="00484642"/>
    <w:rsid w:val="00487A39"/>
    <w:rsid w:val="004C5F26"/>
    <w:rsid w:val="004E7836"/>
    <w:rsid w:val="00501B90"/>
    <w:rsid w:val="00511E10"/>
    <w:rsid w:val="005171D4"/>
    <w:rsid w:val="00521FCB"/>
    <w:rsid w:val="005223B9"/>
    <w:rsid w:val="00532B64"/>
    <w:rsid w:val="00543505"/>
    <w:rsid w:val="005611F2"/>
    <w:rsid w:val="00565698"/>
    <w:rsid w:val="0056737A"/>
    <w:rsid w:val="00573817"/>
    <w:rsid w:val="00590D68"/>
    <w:rsid w:val="005A7B2C"/>
    <w:rsid w:val="005B0930"/>
    <w:rsid w:val="005B53F2"/>
    <w:rsid w:val="005C64AC"/>
    <w:rsid w:val="005E18C8"/>
    <w:rsid w:val="005E1E5E"/>
    <w:rsid w:val="005E1F03"/>
    <w:rsid w:val="005E3CAD"/>
    <w:rsid w:val="006070A8"/>
    <w:rsid w:val="006152E6"/>
    <w:rsid w:val="0061599B"/>
    <w:rsid w:val="00660C3B"/>
    <w:rsid w:val="00664BF0"/>
    <w:rsid w:val="00667AE6"/>
    <w:rsid w:val="0068069B"/>
    <w:rsid w:val="00695FA3"/>
    <w:rsid w:val="006B1DE0"/>
    <w:rsid w:val="006C1680"/>
    <w:rsid w:val="006C6B16"/>
    <w:rsid w:val="006D650C"/>
    <w:rsid w:val="006E0E1D"/>
    <w:rsid w:val="006E34CD"/>
    <w:rsid w:val="006F074C"/>
    <w:rsid w:val="006F1A44"/>
    <w:rsid w:val="00704D91"/>
    <w:rsid w:val="00723223"/>
    <w:rsid w:val="00725A6D"/>
    <w:rsid w:val="007343A3"/>
    <w:rsid w:val="007865B2"/>
    <w:rsid w:val="00786F5E"/>
    <w:rsid w:val="00794370"/>
    <w:rsid w:val="007A6586"/>
    <w:rsid w:val="007B5A4F"/>
    <w:rsid w:val="007D39E8"/>
    <w:rsid w:val="007D6D13"/>
    <w:rsid w:val="007D7748"/>
    <w:rsid w:val="0080472F"/>
    <w:rsid w:val="00804FC2"/>
    <w:rsid w:val="008316E9"/>
    <w:rsid w:val="00835C56"/>
    <w:rsid w:val="00844B76"/>
    <w:rsid w:val="008864E6"/>
    <w:rsid w:val="008A42E4"/>
    <w:rsid w:val="008B16D5"/>
    <w:rsid w:val="008C2D90"/>
    <w:rsid w:val="008D4B69"/>
    <w:rsid w:val="008E11EC"/>
    <w:rsid w:val="008E4CF6"/>
    <w:rsid w:val="008F7667"/>
    <w:rsid w:val="009003A2"/>
    <w:rsid w:val="00920178"/>
    <w:rsid w:val="00944E4E"/>
    <w:rsid w:val="0095488D"/>
    <w:rsid w:val="00957231"/>
    <w:rsid w:val="009626DD"/>
    <w:rsid w:val="0096550D"/>
    <w:rsid w:val="0097483E"/>
    <w:rsid w:val="009938E4"/>
    <w:rsid w:val="009C0B32"/>
    <w:rsid w:val="009C73DD"/>
    <w:rsid w:val="009F09EB"/>
    <w:rsid w:val="009F75A1"/>
    <w:rsid w:val="00A02AF1"/>
    <w:rsid w:val="00A03817"/>
    <w:rsid w:val="00A05FEA"/>
    <w:rsid w:val="00A2685C"/>
    <w:rsid w:val="00A268AC"/>
    <w:rsid w:val="00A44BAD"/>
    <w:rsid w:val="00A46971"/>
    <w:rsid w:val="00A82E6D"/>
    <w:rsid w:val="00A94701"/>
    <w:rsid w:val="00AF632E"/>
    <w:rsid w:val="00B15D08"/>
    <w:rsid w:val="00B20CBB"/>
    <w:rsid w:val="00B47F6C"/>
    <w:rsid w:val="00B64FE0"/>
    <w:rsid w:val="00B8207E"/>
    <w:rsid w:val="00B97105"/>
    <w:rsid w:val="00B97407"/>
    <w:rsid w:val="00BA22F5"/>
    <w:rsid w:val="00BC19F7"/>
    <w:rsid w:val="00BC5792"/>
    <w:rsid w:val="00BC6F51"/>
    <w:rsid w:val="00BE317F"/>
    <w:rsid w:val="00BF4BC0"/>
    <w:rsid w:val="00C15AF0"/>
    <w:rsid w:val="00C1615A"/>
    <w:rsid w:val="00C3032D"/>
    <w:rsid w:val="00C360BE"/>
    <w:rsid w:val="00C5496F"/>
    <w:rsid w:val="00C64FEC"/>
    <w:rsid w:val="00C711D9"/>
    <w:rsid w:val="00C7768E"/>
    <w:rsid w:val="00C92346"/>
    <w:rsid w:val="00C97D08"/>
    <w:rsid w:val="00CB0AF1"/>
    <w:rsid w:val="00CD22F0"/>
    <w:rsid w:val="00CF5092"/>
    <w:rsid w:val="00D0195D"/>
    <w:rsid w:val="00D418E3"/>
    <w:rsid w:val="00D51611"/>
    <w:rsid w:val="00D72E05"/>
    <w:rsid w:val="00D73FC0"/>
    <w:rsid w:val="00D81626"/>
    <w:rsid w:val="00DB3BF0"/>
    <w:rsid w:val="00DC02E2"/>
    <w:rsid w:val="00DC0B50"/>
    <w:rsid w:val="00DD22D9"/>
    <w:rsid w:val="00DD68C3"/>
    <w:rsid w:val="00DE3668"/>
    <w:rsid w:val="00DE67F6"/>
    <w:rsid w:val="00DF2E59"/>
    <w:rsid w:val="00DF4691"/>
    <w:rsid w:val="00DF78BD"/>
    <w:rsid w:val="00E20C72"/>
    <w:rsid w:val="00E23001"/>
    <w:rsid w:val="00E260EE"/>
    <w:rsid w:val="00E34083"/>
    <w:rsid w:val="00E345E3"/>
    <w:rsid w:val="00E57EB0"/>
    <w:rsid w:val="00E6724F"/>
    <w:rsid w:val="00E67D60"/>
    <w:rsid w:val="00E70D9A"/>
    <w:rsid w:val="00E76573"/>
    <w:rsid w:val="00E8579E"/>
    <w:rsid w:val="00E9415A"/>
    <w:rsid w:val="00EA0B82"/>
    <w:rsid w:val="00EA727D"/>
    <w:rsid w:val="00EB0911"/>
    <w:rsid w:val="00EB2D4F"/>
    <w:rsid w:val="00EB3537"/>
    <w:rsid w:val="00EB47DD"/>
    <w:rsid w:val="00EC085E"/>
    <w:rsid w:val="00EC6008"/>
    <w:rsid w:val="00ED2B32"/>
    <w:rsid w:val="00EE366E"/>
    <w:rsid w:val="00EE4324"/>
    <w:rsid w:val="00F03C24"/>
    <w:rsid w:val="00F118CC"/>
    <w:rsid w:val="00F16B3F"/>
    <w:rsid w:val="00F21AEE"/>
    <w:rsid w:val="00F66D50"/>
    <w:rsid w:val="00F71728"/>
    <w:rsid w:val="00F96BEC"/>
    <w:rsid w:val="00F9714F"/>
    <w:rsid w:val="00FB7360"/>
    <w:rsid w:val="00FC74E6"/>
    <w:rsid w:val="00FD7753"/>
    <w:rsid w:val="00FE5D9D"/>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026F86"/>
    <w:rPr>
      <w:rFonts w:ascii="Perpetua Std" w:hAnsi="Perpetua Std"/>
    </w:rPr>
  </w:style>
  <w:style w:type="paragraph" w:styleId="Heading1">
    <w:name w:val="heading 1"/>
    <w:basedOn w:val="Normal"/>
    <w:next w:val="Normal"/>
    <w:link w:val="Heading1Char"/>
    <w:qFormat/>
    <w:rsid w:val="00026F86"/>
    <w:pPr>
      <w:keepNext/>
      <w:outlineLvl w:val="0"/>
    </w:pPr>
    <w:rPr>
      <w:b/>
    </w:rPr>
  </w:style>
  <w:style w:type="paragraph" w:styleId="Heading2">
    <w:name w:val="heading 2"/>
    <w:basedOn w:val="Normal"/>
    <w:next w:val="Normal"/>
    <w:link w:val="Heading2Char"/>
    <w:qFormat/>
    <w:rsid w:val="00026F86"/>
    <w:pPr>
      <w:keepNext/>
      <w:spacing w:before="240" w:after="60"/>
      <w:outlineLvl w:val="1"/>
    </w:pPr>
    <w:rPr>
      <w:rFonts w:ascii="Arial" w:hAnsi="Arial"/>
      <w:b/>
      <w:i/>
      <w:sz w:val="24"/>
    </w:rPr>
  </w:style>
  <w:style w:type="paragraph" w:styleId="Heading3">
    <w:name w:val="heading 3"/>
    <w:basedOn w:val="Normal"/>
    <w:next w:val="Normal"/>
    <w:link w:val="Heading3Char"/>
    <w:qFormat/>
    <w:rsid w:val="00026F86"/>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026F86"/>
    <w:pPr>
      <w:spacing w:after="240"/>
      <w:jc w:val="both"/>
    </w:pPr>
    <w:rPr>
      <w:rFonts w:ascii="Helvetica LT Std" w:hAnsi="Helvetica LT Std"/>
      <w:b/>
      <w:color w:val="000000"/>
      <w:sz w:val="26"/>
    </w:rPr>
  </w:style>
  <w:style w:type="paragraph" w:customStyle="1" w:styleId="PA">
    <w:name w:val="PA"/>
    <w:next w:val="Normal"/>
    <w:link w:val="PAChar"/>
    <w:rsid w:val="00026F86"/>
    <w:pPr>
      <w:spacing w:after="240"/>
      <w:ind w:firstLine="288"/>
      <w:jc w:val="both"/>
    </w:pPr>
    <w:rPr>
      <w:rFonts w:ascii="Perpetua Std" w:hAnsi="Perpetua Std"/>
      <w:color w:val="000000"/>
      <w:sz w:val="24"/>
    </w:rPr>
  </w:style>
  <w:style w:type="character" w:customStyle="1" w:styleId="PAChar">
    <w:name w:val="PA Char"/>
    <w:link w:val="PA"/>
    <w:rsid w:val="00026F86"/>
    <w:rPr>
      <w:rFonts w:ascii="Perpetua Std" w:hAnsi="Perpetua Std"/>
      <w:color w:val="000000"/>
      <w:sz w:val="24"/>
    </w:rPr>
  </w:style>
  <w:style w:type="paragraph" w:styleId="FootnoteText">
    <w:name w:val="footnote text"/>
    <w:basedOn w:val="Normal"/>
    <w:link w:val="FootnoteTextChar"/>
    <w:rsid w:val="006F074C"/>
  </w:style>
  <w:style w:type="character" w:customStyle="1" w:styleId="FootnoteTextChar">
    <w:name w:val="Footnote Text Char"/>
    <w:link w:val="FootnoteText"/>
    <w:rsid w:val="006F074C"/>
    <w:rPr>
      <w:sz w:val="20"/>
      <w:szCs w:val="20"/>
    </w:rPr>
  </w:style>
  <w:style w:type="character" w:styleId="FootnoteReference">
    <w:name w:val="footnote reference"/>
    <w:rsid w:val="00026F86"/>
    <w:rPr>
      <w:vertAlign w:val="superscript"/>
    </w:rPr>
  </w:style>
  <w:style w:type="paragraph" w:customStyle="1" w:styleId="FreeForm">
    <w:name w:val="Free Form"/>
    <w:autoRedefine/>
    <w:rsid w:val="005A7B2C"/>
    <w:rPr>
      <w:rFonts w:ascii="Helvetica" w:eastAsia="ヒラギノ角ゴ Pro W3" w:hAnsi="Helvetica"/>
      <w:color w:val="000000"/>
      <w:sz w:val="24"/>
    </w:rPr>
  </w:style>
  <w:style w:type="character" w:styleId="Hyperlink">
    <w:name w:val="Hyperlink"/>
    <w:rsid w:val="005A7B2C"/>
    <w:rPr>
      <w:color w:val="0000FF"/>
      <w:u w:val="single"/>
    </w:rPr>
  </w:style>
  <w:style w:type="paragraph" w:customStyle="1" w:styleId="PC">
    <w:name w:val="PC"/>
    <w:rsid w:val="00026F86"/>
    <w:pPr>
      <w:tabs>
        <w:tab w:val="left" w:pos="720"/>
      </w:tabs>
      <w:spacing w:after="240"/>
      <w:ind w:left="720" w:hanging="360"/>
      <w:jc w:val="both"/>
    </w:pPr>
    <w:rPr>
      <w:rFonts w:ascii="Perpetua Std" w:hAnsi="Perpetua Std"/>
      <w:color w:val="000000"/>
      <w:sz w:val="24"/>
    </w:rPr>
  </w:style>
  <w:style w:type="paragraph" w:customStyle="1" w:styleId="HD">
    <w:name w:val="HD"/>
    <w:rsid w:val="00026F86"/>
    <w:pPr>
      <w:suppressAutoHyphens/>
      <w:spacing w:before="120"/>
      <w:jc w:val="center"/>
    </w:pPr>
    <w:rPr>
      <w:rFonts w:ascii="Helvetica LT Std" w:hAnsi="Helvetica LT Std"/>
      <w:sz w:val="26"/>
      <w:szCs w:val="18"/>
    </w:rPr>
  </w:style>
  <w:style w:type="paragraph" w:customStyle="1" w:styleId="PN">
    <w:name w:val="PN"/>
    <w:rsid w:val="00026F86"/>
    <w:pPr>
      <w:spacing w:after="240"/>
      <w:ind w:left="720" w:firstLine="288"/>
      <w:jc w:val="both"/>
    </w:pPr>
    <w:rPr>
      <w:rFonts w:ascii="Perpetua Std" w:eastAsia="MS Mincho" w:hAnsi="Perpetua Std"/>
      <w:color w:val="000000"/>
    </w:rPr>
  </w:style>
  <w:style w:type="paragraph" w:customStyle="1" w:styleId="PB">
    <w:name w:val="PB"/>
    <w:rsid w:val="00026F86"/>
    <w:pPr>
      <w:spacing w:after="240"/>
      <w:jc w:val="both"/>
    </w:pPr>
    <w:rPr>
      <w:rFonts w:ascii="Perpetua Std" w:hAnsi="Perpetua Std"/>
      <w:color w:val="000000"/>
      <w:sz w:val="24"/>
    </w:rPr>
  </w:style>
  <w:style w:type="paragraph" w:customStyle="1" w:styleId="PQ">
    <w:name w:val="PQ"/>
    <w:link w:val="PQChar"/>
    <w:rsid w:val="00026F86"/>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026F86"/>
    <w:rPr>
      <w:rFonts w:ascii="Adobe Caslon Pro" w:hAnsi="Adobe Caslon Pro"/>
      <w:color w:val="000000"/>
      <w:sz w:val="14"/>
    </w:rPr>
  </w:style>
  <w:style w:type="paragraph" w:customStyle="1" w:styleId="PF">
    <w:name w:val="PF"/>
    <w:rsid w:val="00026F86"/>
    <w:pPr>
      <w:tabs>
        <w:tab w:val="left" w:pos="1080"/>
      </w:tabs>
      <w:spacing w:after="240"/>
      <w:ind w:left="1080" w:hanging="360"/>
      <w:jc w:val="both"/>
    </w:pPr>
    <w:rPr>
      <w:rFonts w:ascii="Perpetua Std" w:hAnsi="Perpetua Std"/>
      <w:color w:val="000000"/>
      <w:sz w:val="24"/>
    </w:rPr>
  </w:style>
  <w:style w:type="character" w:customStyle="1" w:styleId="pa-h2">
    <w:name w:val="pa-h2"/>
    <w:rsid w:val="00C3032D"/>
    <w:rPr>
      <w:rFonts w:ascii="Helvetica LT Std" w:hAnsi="Helvetica LT Std" w:hint="default"/>
      <w:color w:val="000000"/>
      <w:sz w:val="24"/>
      <w:szCs w:val="24"/>
    </w:rPr>
  </w:style>
  <w:style w:type="paragraph" w:customStyle="1" w:styleId="HE">
    <w:name w:val="HE"/>
    <w:rsid w:val="00026F86"/>
    <w:pPr>
      <w:spacing w:before="120" w:after="120"/>
      <w:jc w:val="center"/>
    </w:pPr>
    <w:rPr>
      <w:rFonts w:ascii="Helvetica LT Std" w:hAnsi="Helvetica LT Std"/>
      <w:sz w:val="24"/>
    </w:rPr>
  </w:style>
  <w:style w:type="table" w:styleId="TableGrid">
    <w:name w:val="Table Grid"/>
    <w:basedOn w:val="TableNormal"/>
    <w:rsid w:val="00026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0D68"/>
    <w:rPr>
      <w:rFonts w:ascii="Tahoma" w:hAnsi="Tahoma" w:cs="Tahoma"/>
      <w:sz w:val="16"/>
      <w:szCs w:val="16"/>
    </w:rPr>
  </w:style>
  <w:style w:type="character" w:customStyle="1" w:styleId="BalloonTextChar">
    <w:name w:val="Balloon Text Char"/>
    <w:link w:val="BalloonText"/>
    <w:rsid w:val="00590D68"/>
    <w:rPr>
      <w:rFonts w:ascii="Tahoma" w:eastAsia="Times New Roman" w:hAnsi="Tahoma" w:cs="Tahoma"/>
      <w:sz w:val="16"/>
      <w:szCs w:val="16"/>
    </w:rPr>
  </w:style>
  <w:style w:type="paragraph" w:styleId="Header">
    <w:name w:val="header"/>
    <w:basedOn w:val="Normal"/>
    <w:link w:val="HeaderChar"/>
    <w:rsid w:val="00026F86"/>
    <w:pPr>
      <w:tabs>
        <w:tab w:val="center" w:pos="4320"/>
        <w:tab w:val="right" w:pos="8640"/>
      </w:tabs>
    </w:pPr>
  </w:style>
  <w:style w:type="character" w:customStyle="1" w:styleId="HeaderChar">
    <w:name w:val="Header Char"/>
    <w:link w:val="Header"/>
    <w:rsid w:val="00D72E05"/>
    <w:rPr>
      <w:rFonts w:ascii="Perpetua Std" w:hAnsi="Perpetua Std"/>
    </w:rPr>
  </w:style>
  <w:style w:type="paragraph" w:styleId="Footer">
    <w:name w:val="footer"/>
    <w:basedOn w:val="Normal"/>
    <w:link w:val="FooterChar"/>
    <w:rsid w:val="00026F86"/>
    <w:pPr>
      <w:tabs>
        <w:tab w:val="center" w:pos="4320"/>
        <w:tab w:val="right" w:pos="8640"/>
      </w:tabs>
    </w:pPr>
  </w:style>
  <w:style w:type="character" w:customStyle="1" w:styleId="FooterChar">
    <w:name w:val="Footer Char"/>
    <w:link w:val="Footer"/>
    <w:rsid w:val="00D72E05"/>
    <w:rPr>
      <w:rFonts w:ascii="Perpetua Std" w:hAnsi="Perpetua Std"/>
    </w:rPr>
  </w:style>
  <w:style w:type="paragraph" w:styleId="CommentText">
    <w:name w:val="annotation text"/>
    <w:basedOn w:val="Normal"/>
    <w:link w:val="CommentTextChar"/>
    <w:rsid w:val="00310C38"/>
  </w:style>
  <w:style w:type="character" w:customStyle="1" w:styleId="CommentTextChar">
    <w:name w:val="Comment Text Char"/>
    <w:link w:val="CommentText"/>
    <w:rsid w:val="00310C38"/>
    <w:rPr>
      <w:rFonts w:ascii="Perpetua" w:eastAsia="Times New Roman" w:hAnsi="Perpetua" w:cs="Times New Roman"/>
      <w:sz w:val="20"/>
      <w:szCs w:val="20"/>
    </w:rPr>
  </w:style>
  <w:style w:type="paragraph" w:customStyle="1" w:styleId="Standard">
    <w:name w:val="Standard"/>
    <w:rsid w:val="00026F86"/>
    <w:pPr>
      <w:spacing w:before="144"/>
      <w:jc w:val="both"/>
    </w:pPr>
    <w:rPr>
      <w:noProof/>
    </w:rPr>
  </w:style>
  <w:style w:type="paragraph" w:customStyle="1" w:styleId="PD">
    <w:name w:val="PD"/>
    <w:rsid w:val="00026F86"/>
    <w:pPr>
      <w:spacing w:after="240"/>
      <w:ind w:left="720" w:firstLine="288"/>
      <w:jc w:val="both"/>
    </w:pPr>
    <w:rPr>
      <w:rFonts w:ascii="Perpetua Std" w:hAnsi="Perpetua Std"/>
      <w:color w:val="000000"/>
      <w:sz w:val="24"/>
    </w:rPr>
  </w:style>
  <w:style w:type="paragraph" w:customStyle="1" w:styleId="PE">
    <w:name w:val="PE"/>
    <w:rsid w:val="00026F86"/>
    <w:pPr>
      <w:spacing w:after="240"/>
      <w:ind w:left="720"/>
      <w:jc w:val="both"/>
    </w:pPr>
    <w:rPr>
      <w:rFonts w:ascii="Perpetua Std" w:hAnsi="Perpetua Std"/>
      <w:color w:val="000000"/>
      <w:sz w:val="24"/>
    </w:rPr>
  </w:style>
  <w:style w:type="paragraph" w:customStyle="1" w:styleId="PG">
    <w:name w:val="PG"/>
    <w:rsid w:val="00026F86"/>
    <w:pPr>
      <w:spacing w:after="240"/>
      <w:ind w:left="360"/>
      <w:jc w:val="both"/>
    </w:pPr>
    <w:rPr>
      <w:rFonts w:ascii="Perpetua Std" w:hAnsi="Perpetua Std"/>
      <w:color w:val="000000"/>
      <w:sz w:val="24"/>
    </w:rPr>
  </w:style>
  <w:style w:type="paragraph" w:customStyle="1" w:styleId="PH">
    <w:name w:val="PH"/>
    <w:rsid w:val="00026F86"/>
    <w:pPr>
      <w:tabs>
        <w:tab w:val="left" w:pos="360"/>
      </w:tabs>
      <w:spacing w:after="240"/>
      <w:ind w:left="360" w:hanging="360"/>
      <w:jc w:val="both"/>
    </w:pPr>
    <w:rPr>
      <w:rFonts w:ascii="Perpetua Std" w:hAnsi="Perpetua Std"/>
      <w:color w:val="000000"/>
      <w:sz w:val="24"/>
    </w:rPr>
  </w:style>
  <w:style w:type="paragraph" w:customStyle="1" w:styleId="PI">
    <w:name w:val="PI"/>
    <w:rsid w:val="00026F86"/>
    <w:pPr>
      <w:spacing w:after="240"/>
      <w:ind w:left="360" w:hanging="360"/>
      <w:jc w:val="both"/>
    </w:pPr>
    <w:rPr>
      <w:rFonts w:ascii="Perpetua Std" w:hAnsi="Perpetua Std"/>
      <w:color w:val="000000"/>
      <w:sz w:val="24"/>
    </w:rPr>
  </w:style>
  <w:style w:type="paragraph" w:customStyle="1" w:styleId="PK">
    <w:name w:val="PK"/>
    <w:rsid w:val="00026F86"/>
    <w:pPr>
      <w:spacing w:after="240"/>
      <w:ind w:left="360" w:firstLine="288"/>
      <w:jc w:val="both"/>
    </w:pPr>
    <w:rPr>
      <w:rFonts w:ascii="Perpetua Std" w:hAnsi="Perpetua Std"/>
      <w:color w:val="000000"/>
      <w:sz w:val="24"/>
    </w:rPr>
  </w:style>
  <w:style w:type="paragraph" w:customStyle="1" w:styleId="PL">
    <w:name w:val="PL"/>
    <w:rsid w:val="00026F86"/>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026F86"/>
    <w:pPr>
      <w:spacing w:after="240"/>
      <w:ind w:left="432" w:right="432" w:firstLine="432"/>
      <w:jc w:val="both"/>
    </w:pPr>
    <w:rPr>
      <w:rFonts w:ascii="Minion Pro" w:hAnsi="Minion Pro"/>
    </w:rPr>
  </w:style>
  <w:style w:type="paragraph" w:customStyle="1" w:styleId="TOC">
    <w:name w:val="TOC"/>
    <w:autoRedefine/>
    <w:rsid w:val="00026F86"/>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026F86"/>
    <w:pPr>
      <w:tabs>
        <w:tab w:val="clear" w:pos="1440"/>
        <w:tab w:val="clear" w:pos="8640"/>
        <w:tab w:val="left" w:pos="240"/>
        <w:tab w:val="left" w:pos="480"/>
        <w:tab w:val="right" w:leader="dot" w:pos="4680"/>
      </w:tabs>
      <w:ind w:left="0" w:firstLine="0"/>
    </w:pPr>
    <w:rPr>
      <w:sz w:val="22"/>
    </w:rPr>
  </w:style>
  <w:style w:type="paragraph" w:customStyle="1" w:styleId="PP">
    <w:name w:val="PP"/>
    <w:rsid w:val="00026F86"/>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A">
    <w:name w:val="HA"/>
    <w:autoRedefine/>
    <w:rsid w:val="00026F86"/>
    <w:pPr>
      <w:spacing w:after="240"/>
      <w:jc w:val="center"/>
    </w:pPr>
    <w:rPr>
      <w:rFonts w:ascii="Helvetica LT Std" w:hAnsi="Helvetica LT Std"/>
      <w:b/>
      <w:caps/>
      <w:color w:val="000000"/>
      <w:sz w:val="36"/>
      <w:szCs w:val="32"/>
    </w:rPr>
  </w:style>
  <w:style w:type="paragraph" w:customStyle="1" w:styleId="HB">
    <w:name w:val="HB"/>
    <w:rsid w:val="00026F86"/>
    <w:pPr>
      <w:spacing w:before="120" w:after="240"/>
      <w:jc w:val="center"/>
    </w:pPr>
    <w:rPr>
      <w:rFonts w:ascii="Helvetica LT Std" w:hAnsi="Helvetica LT Std"/>
      <w:b/>
      <w:color w:val="5F5F5F"/>
      <w:w w:val="105"/>
      <w:sz w:val="32"/>
    </w:rPr>
  </w:style>
  <w:style w:type="paragraph" w:customStyle="1" w:styleId="HC">
    <w:name w:val="HC"/>
    <w:autoRedefine/>
    <w:rsid w:val="00026F86"/>
    <w:pPr>
      <w:tabs>
        <w:tab w:val="left" w:pos="284"/>
      </w:tabs>
      <w:spacing w:before="120" w:after="120"/>
      <w:jc w:val="center"/>
    </w:pPr>
    <w:rPr>
      <w:rFonts w:ascii="Helvetica LT Std" w:hAnsi="Helvetica LT Std"/>
      <w:b/>
      <w:color w:val="000000"/>
      <w:w w:val="110"/>
      <w:sz w:val="26"/>
    </w:rPr>
  </w:style>
  <w:style w:type="paragraph" w:customStyle="1" w:styleId="PR">
    <w:name w:val="PR"/>
    <w:rsid w:val="00026F86"/>
    <w:pPr>
      <w:spacing w:after="240"/>
      <w:ind w:left="360" w:firstLine="288"/>
      <w:jc w:val="both"/>
    </w:pPr>
    <w:rPr>
      <w:rFonts w:ascii="Adobe Caslon Pro" w:hAnsi="Adobe Caslon Pro"/>
      <w:color w:val="000000"/>
      <w:sz w:val="14"/>
    </w:rPr>
  </w:style>
  <w:style w:type="paragraph" w:customStyle="1" w:styleId="PO">
    <w:name w:val="PO"/>
    <w:rsid w:val="00026F86"/>
    <w:pPr>
      <w:spacing w:after="240"/>
      <w:jc w:val="both"/>
    </w:pPr>
    <w:rPr>
      <w:rFonts w:ascii="Perpetua Std" w:hAnsi="Perpetua Std"/>
      <w:color w:val="000000"/>
      <w:w w:val="95"/>
      <w:szCs w:val="16"/>
    </w:rPr>
  </w:style>
  <w:style w:type="paragraph" w:customStyle="1" w:styleId="GUIDEX">
    <w:name w:val="GUIDEX"/>
    <w:rsid w:val="00026F86"/>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026F86"/>
    <w:pPr>
      <w:tabs>
        <w:tab w:val="clear" w:pos="240"/>
        <w:tab w:val="clear" w:pos="480"/>
        <w:tab w:val="clear" w:pos="720"/>
        <w:tab w:val="right" w:pos="4680"/>
      </w:tabs>
    </w:pPr>
  </w:style>
  <w:style w:type="paragraph" w:customStyle="1" w:styleId="PCB">
    <w:name w:val="PCB"/>
    <w:autoRedefine/>
    <w:rsid w:val="00026F86"/>
    <w:pPr>
      <w:numPr>
        <w:numId w:val="26"/>
      </w:numPr>
      <w:tabs>
        <w:tab w:val="left" w:pos="720"/>
      </w:tabs>
      <w:spacing w:after="240"/>
      <w:ind w:left="720"/>
      <w:jc w:val="both"/>
    </w:pPr>
    <w:rPr>
      <w:rFonts w:ascii="Perpetua Std" w:hAnsi="Perpetua Std"/>
      <w:color w:val="000000"/>
      <w:sz w:val="24"/>
    </w:rPr>
  </w:style>
  <w:style w:type="paragraph" w:customStyle="1" w:styleId="PFB">
    <w:name w:val="PFB"/>
    <w:autoRedefine/>
    <w:rsid w:val="00026F86"/>
    <w:pPr>
      <w:numPr>
        <w:numId w:val="28"/>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026F86"/>
    <w:rPr>
      <w:rFonts w:ascii="Perpetua Std" w:hAnsi="Perpetua Std"/>
    </w:rPr>
  </w:style>
  <w:style w:type="paragraph" w:styleId="NoSpacing">
    <w:name w:val="No Spacing"/>
    <w:qFormat/>
    <w:rsid w:val="00026F86"/>
    <w:rPr>
      <w:rFonts w:ascii="Perpetua" w:hAnsi="Perpetua"/>
    </w:rPr>
  </w:style>
  <w:style w:type="paragraph" w:customStyle="1" w:styleId="PCA">
    <w:name w:val="PCA"/>
    <w:rsid w:val="00026F86"/>
    <w:pPr>
      <w:numPr>
        <w:numId w:val="29"/>
      </w:numPr>
      <w:tabs>
        <w:tab w:val="left" w:pos="720"/>
      </w:tabs>
      <w:spacing w:after="240"/>
      <w:jc w:val="both"/>
    </w:pPr>
    <w:rPr>
      <w:rFonts w:ascii="Perpetua Std" w:hAnsi="Perpetua Std"/>
      <w:sz w:val="24"/>
    </w:rPr>
  </w:style>
  <w:style w:type="paragraph" w:customStyle="1" w:styleId="PHB">
    <w:name w:val="PHB"/>
    <w:rsid w:val="00026F86"/>
    <w:pPr>
      <w:numPr>
        <w:numId w:val="30"/>
      </w:numPr>
      <w:tabs>
        <w:tab w:val="left" w:pos="360"/>
      </w:tabs>
      <w:spacing w:after="240"/>
      <w:jc w:val="both"/>
    </w:pPr>
    <w:rPr>
      <w:rFonts w:ascii="Perpetua Std" w:hAnsi="Perpetua Std"/>
      <w:sz w:val="24"/>
    </w:rPr>
  </w:style>
  <w:style w:type="character" w:customStyle="1" w:styleId="IndexChar">
    <w:name w:val="Index Char"/>
    <w:link w:val="Index"/>
    <w:rsid w:val="00026F86"/>
    <w:rPr>
      <w:rFonts w:ascii="Perpetua Std" w:eastAsia="MS Mincho" w:hAnsi="Perpetua Std"/>
      <w:color w:val="000000"/>
      <w:sz w:val="22"/>
    </w:rPr>
  </w:style>
  <w:style w:type="character" w:styleId="EndnoteReference">
    <w:name w:val="endnote reference"/>
    <w:semiHidden/>
    <w:rsid w:val="003844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026F86"/>
    <w:rPr>
      <w:rFonts w:ascii="Perpetua Std" w:hAnsi="Perpetua Std"/>
    </w:rPr>
  </w:style>
  <w:style w:type="paragraph" w:styleId="Heading1">
    <w:name w:val="heading 1"/>
    <w:basedOn w:val="Normal"/>
    <w:next w:val="Normal"/>
    <w:link w:val="Heading1Char"/>
    <w:qFormat/>
    <w:rsid w:val="00026F86"/>
    <w:pPr>
      <w:keepNext/>
      <w:outlineLvl w:val="0"/>
    </w:pPr>
    <w:rPr>
      <w:b/>
    </w:rPr>
  </w:style>
  <w:style w:type="paragraph" w:styleId="Heading2">
    <w:name w:val="heading 2"/>
    <w:basedOn w:val="Normal"/>
    <w:next w:val="Normal"/>
    <w:link w:val="Heading2Char"/>
    <w:qFormat/>
    <w:rsid w:val="00026F86"/>
    <w:pPr>
      <w:keepNext/>
      <w:spacing w:before="240" w:after="60"/>
      <w:outlineLvl w:val="1"/>
    </w:pPr>
    <w:rPr>
      <w:rFonts w:ascii="Arial" w:hAnsi="Arial"/>
      <w:b/>
      <w:i/>
      <w:sz w:val="24"/>
    </w:rPr>
  </w:style>
  <w:style w:type="paragraph" w:styleId="Heading3">
    <w:name w:val="heading 3"/>
    <w:basedOn w:val="Normal"/>
    <w:next w:val="Normal"/>
    <w:link w:val="Heading3Char"/>
    <w:qFormat/>
    <w:rsid w:val="00026F86"/>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026F86"/>
    <w:pPr>
      <w:spacing w:after="240"/>
      <w:jc w:val="both"/>
    </w:pPr>
    <w:rPr>
      <w:rFonts w:ascii="Helvetica LT Std" w:hAnsi="Helvetica LT Std"/>
      <w:b/>
      <w:color w:val="000000"/>
      <w:sz w:val="26"/>
    </w:rPr>
  </w:style>
  <w:style w:type="paragraph" w:customStyle="1" w:styleId="PA">
    <w:name w:val="PA"/>
    <w:next w:val="Normal"/>
    <w:link w:val="PAChar"/>
    <w:rsid w:val="00026F86"/>
    <w:pPr>
      <w:spacing w:after="240"/>
      <w:ind w:firstLine="288"/>
      <w:jc w:val="both"/>
    </w:pPr>
    <w:rPr>
      <w:rFonts w:ascii="Perpetua Std" w:hAnsi="Perpetua Std"/>
      <w:color w:val="000000"/>
      <w:sz w:val="24"/>
    </w:rPr>
  </w:style>
  <w:style w:type="character" w:customStyle="1" w:styleId="PAChar">
    <w:name w:val="PA Char"/>
    <w:link w:val="PA"/>
    <w:rsid w:val="00026F86"/>
    <w:rPr>
      <w:rFonts w:ascii="Perpetua Std" w:hAnsi="Perpetua Std"/>
      <w:color w:val="000000"/>
      <w:sz w:val="24"/>
    </w:rPr>
  </w:style>
  <w:style w:type="paragraph" w:styleId="FootnoteText">
    <w:name w:val="footnote text"/>
    <w:basedOn w:val="Normal"/>
    <w:link w:val="FootnoteTextChar"/>
    <w:rsid w:val="006F074C"/>
  </w:style>
  <w:style w:type="character" w:customStyle="1" w:styleId="FootnoteTextChar">
    <w:name w:val="Footnote Text Char"/>
    <w:link w:val="FootnoteText"/>
    <w:rsid w:val="006F074C"/>
    <w:rPr>
      <w:sz w:val="20"/>
      <w:szCs w:val="20"/>
    </w:rPr>
  </w:style>
  <w:style w:type="character" w:styleId="FootnoteReference">
    <w:name w:val="footnote reference"/>
    <w:rsid w:val="00026F86"/>
    <w:rPr>
      <w:vertAlign w:val="superscript"/>
    </w:rPr>
  </w:style>
  <w:style w:type="paragraph" w:customStyle="1" w:styleId="FreeForm">
    <w:name w:val="Free Form"/>
    <w:autoRedefine/>
    <w:rsid w:val="005A7B2C"/>
    <w:rPr>
      <w:rFonts w:ascii="Helvetica" w:eastAsia="ヒラギノ角ゴ Pro W3" w:hAnsi="Helvetica"/>
      <w:color w:val="000000"/>
      <w:sz w:val="24"/>
    </w:rPr>
  </w:style>
  <w:style w:type="character" w:styleId="Hyperlink">
    <w:name w:val="Hyperlink"/>
    <w:rsid w:val="005A7B2C"/>
    <w:rPr>
      <w:color w:val="0000FF"/>
      <w:u w:val="single"/>
    </w:rPr>
  </w:style>
  <w:style w:type="paragraph" w:customStyle="1" w:styleId="PC">
    <w:name w:val="PC"/>
    <w:rsid w:val="00026F86"/>
    <w:pPr>
      <w:tabs>
        <w:tab w:val="left" w:pos="720"/>
      </w:tabs>
      <w:spacing w:after="240"/>
      <w:ind w:left="720" w:hanging="360"/>
      <w:jc w:val="both"/>
    </w:pPr>
    <w:rPr>
      <w:rFonts w:ascii="Perpetua Std" w:hAnsi="Perpetua Std"/>
      <w:color w:val="000000"/>
      <w:sz w:val="24"/>
    </w:rPr>
  </w:style>
  <w:style w:type="paragraph" w:customStyle="1" w:styleId="HD">
    <w:name w:val="HD"/>
    <w:rsid w:val="00026F86"/>
    <w:pPr>
      <w:suppressAutoHyphens/>
      <w:spacing w:before="120"/>
      <w:jc w:val="center"/>
    </w:pPr>
    <w:rPr>
      <w:rFonts w:ascii="Helvetica LT Std" w:hAnsi="Helvetica LT Std"/>
      <w:sz w:val="26"/>
      <w:szCs w:val="18"/>
    </w:rPr>
  </w:style>
  <w:style w:type="paragraph" w:customStyle="1" w:styleId="PN">
    <w:name w:val="PN"/>
    <w:rsid w:val="00026F86"/>
    <w:pPr>
      <w:spacing w:after="240"/>
      <w:ind w:left="720" w:firstLine="288"/>
      <w:jc w:val="both"/>
    </w:pPr>
    <w:rPr>
      <w:rFonts w:ascii="Perpetua Std" w:eastAsia="MS Mincho" w:hAnsi="Perpetua Std"/>
      <w:color w:val="000000"/>
    </w:rPr>
  </w:style>
  <w:style w:type="paragraph" w:customStyle="1" w:styleId="PB">
    <w:name w:val="PB"/>
    <w:rsid w:val="00026F86"/>
    <w:pPr>
      <w:spacing w:after="240"/>
      <w:jc w:val="both"/>
    </w:pPr>
    <w:rPr>
      <w:rFonts w:ascii="Perpetua Std" w:hAnsi="Perpetua Std"/>
      <w:color w:val="000000"/>
      <w:sz w:val="24"/>
    </w:rPr>
  </w:style>
  <w:style w:type="paragraph" w:customStyle="1" w:styleId="PQ">
    <w:name w:val="PQ"/>
    <w:link w:val="PQChar"/>
    <w:rsid w:val="00026F86"/>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026F86"/>
    <w:rPr>
      <w:rFonts w:ascii="Adobe Caslon Pro" w:hAnsi="Adobe Caslon Pro"/>
      <w:color w:val="000000"/>
      <w:sz w:val="14"/>
    </w:rPr>
  </w:style>
  <w:style w:type="paragraph" w:customStyle="1" w:styleId="PF">
    <w:name w:val="PF"/>
    <w:rsid w:val="00026F86"/>
    <w:pPr>
      <w:tabs>
        <w:tab w:val="left" w:pos="1080"/>
      </w:tabs>
      <w:spacing w:after="240"/>
      <w:ind w:left="1080" w:hanging="360"/>
      <w:jc w:val="both"/>
    </w:pPr>
    <w:rPr>
      <w:rFonts w:ascii="Perpetua Std" w:hAnsi="Perpetua Std"/>
      <w:color w:val="000000"/>
      <w:sz w:val="24"/>
    </w:rPr>
  </w:style>
  <w:style w:type="character" w:customStyle="1" w:styleId="pa-h2">
    <w:name w:val="pa-h2"/>
    <w:rsid w:val="00C3032D"/>
    <w:rPr>
      <w:rFonts w:ascii="Helvetica LT Std" w:hAnsi="Helvetica LT Std" w:hint="default"/>
      <w:color w:val="000000"/>
      <w:sz w:val="24"/>
      <w:szCs w:val="24"/>
    </w:rPr>
  </w:style>
  <w:style w:type="paragraph" w:customStyle="1" w:styleId="HE">
    <w:name w:val="HE"/>
    <w:rsid w:val="00026F86"/>
    <w:pPr>
      <w:spacing w:before="120" w:after="120"/>
      <w:jc w:val="center"/>
    </w:pPr>
    <w:rPr>
      <w:rFonts w:ascii="Helvetica LT Std" w:hAnsi="Helvetica LT Std"/>
      <w:sz w:val="24"/>
    </w:rPr>
  </w:style>
  <w:style w:type="table" w:styleId="TableGrid">
    <w:name w:val="Table Grid"/>
    <w:basedOn w:val="TableNormal"/>
    <w:rsid w:val="00026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0D68"/>
    <w:rPr>
      <w:rFonts w:ascii="Tahoma" w:hAnsi="Tahoma" w:cs="Tahoma"/>
      <w:sz w:val="16"/>
      <w:szCs w:val="16"/>
    </w:rPr>
  </w:style>
  <w:style w:type="character" w:customStyle="1" w:styleId="BalloonTextChar">
    <w:name w:val="Balloon Text Char"/>
    <w:link w:val="BalloonText"/>
    <w:rsid w:val="00590D68"/>
    <w:rPr>
      <w:rFonts w:ascii="Tahoma" w:eastAsia="Times New Roman" w:hAnsi="Tahoma" w:cs="Tahoma"/>
      <w:sz w:val="16"/>
      <w:szCs w:val="16"/>
    </w:rPr>
  </w:style>
  <w:style w:type="paragraph" w:styleId="Header">
    <w:name w:val="header"/>
    <w:basedOn w:val="Normal"/>
    <w:link w:val="HeaderChar"/>
    <w:rsid w:val="00026F86"/>
    <w:pPr>
      <w:tabs>
        <w:tab w:val="center" w:pos="4320"/>
        <w:tab w:val="right" w:pos="8640"/>
      </w:tabs>
    </w:pPr>
  </w:style>
  <w:style w:type="character" w:customStyle="1" w:styleId="HeaderChar">
    <w:name w:val="Header Char"/>
    <w:link w:val="Header"/>
    <w:rsid w:val="00D72E05"/>
    <w:rPr>
      <w:rFonts w:ascii="Perpetua Std" w:hAnsi="Perpetua Std"/>
    </w:rPr>
  </w:style>
  <w:style w:type="paragraph" w:styleId="Footer">
    <w:name w:val="footer"/>
    <w:basedOn w:val="Normal"/>
    <w:link w:val="FooterChar"/>
    <w:rsid w:val="00026F86"/>
    <w:pPr>
      <w:tabs>
        <w:tab w:val="center" w:pos="4320"/>
        <w:tab w:val="right" w:pos="8640"/>
      </w:tabs>
    </w:pPr>
  </w:style>
  <w:style w:type="character" w:customStyle="1" w:styleId="FooterChar">
    <w:name w:val="Footer Char"/>
    <w:link w:val="Footer"/>
    <w:rsid w:val="00D72E05"/>
    <w:rPr>
      <w:rFonts w:ascii="Perpetua Std" w:hAnsi="Perpetua Std"/>
    </w:rPr>
  </w:style>
  <w:style w:type="paragraph" w:styleId="CommentText">
    <w:name w:val="annotation text"/>
    <w:basedOn w:val="Normal"/>
    <w:link w:val="CommentTextChar"/>
    <w:rsid w:val="00310C38"/>
  </w:style>
  <w:style w:type="character" w:customStyle="1" w:styleId="CommentTextChar">
    <w:name w:val="Comment Text Char"/>
    <w:link w:val="CommentText"/>
    <w:rsid w:val="00310C38"/>
    <w:rPr>
      <w:rFonts w:ascii="Perpetua" w:eastAsia="Times New Roman" w:hAnsi="Perpetua" w:cs="Times New Roman"/>
      <w:sz w:val="20"/>
      <w:szCs w:val="20"/>
    </w:rPr>
  </w:style>
  <w:style w:type="paragraph" w:customStyle="1" w:styleId="Standard">
    <w:name w:val="Standard"/>
    <w:rsid w:val="00026F86"/>
    <w:pPr>
      <w:spacing w:before="144"/>
      <w:jc w:val="both"/>
    </w:pPr>
    <w:rPr>
      <w:noProof/>
    </w:rPr>
  </w:style>
  <w:style w:type="paragraph" w:customStyle="1" w:styleId="PD">
    <w:name w:val="PD"/>
    <w:rsid w:val="00026F86"/>
    <w:pPr>
      <w:spacing w:after="240"/>
      <w:ind w:left="720" w:firstLine="288"/>
      <w:jc w:val="both"/>
    </w:pPr>
    <w:rPr>
      <w:rFonts w:ascii="Perpetua Std" w:hAnsi="Perpetua Std"/>
      <w:color w:val="000000"/>
      <w:sz w:val="24"/>
    </w:rPr>
  </w:style>
  <w:style w:type="paragraph" w:customStyle="1" w:styleId="PE">
    <w:name w:val="PE"/>
    <w:rsid w:val="00026F86"/>
    <w:pPr>
      <w:spacing w:after="240"/>
      <w:ind w:left="720"/>
      <w:jc w:val="both"/>
    </w:pPr>
    <w:rPr>
      <w:rFonts w:ascii="Perpetua Std" w:hAnsi="Perpetua Std"/>
      <w:color w:val="000000"/>
      <w:sz w:val="24"/>
    </w:rPr>
  </w:style>
  <w:style w:type="paragraph" w:customStyle="1" w:styleId="PG">
    <w:name w:val="PG"/>
    <w:rsid w:val="00026F86"/>
    <w:pPr>
      <w:spacing w:after="240"/>
      <w:ind w:left="360"/>
      <w:jc w:val="both"/>
    </w:pPr>
    <w:rPr>
      <w:rFonts w:ascii="Perpetua Std" w:hAnsi="Perpetua Std"/>
      <w:color w:val="000000"/>
      <w:sz w:val="24"/>
    </w:rPr>
  </w:style>
  <w:style w:type="paragraph" w:customStyle="1" w:styleId="PH">
    <w:name w:val="PH"/>
    <w:rsid w:val="00026F86"/>
    <w:pPr>
      <w:tabs>
        <w:tab w:val="left" w:pos="360"/>
      </w:tabs>
      <w:spacing w:after="240"/>
      <w:ind w:left="360" w:hanging="360"/>
      <w:jc w:val="both"/>
    </w:pPr>
    <w:rPr>
      <w:rFonts w:ascii="Perpetua Std" w:hAnsi="Perpetua Std"/>
      <w:color w:val="000000"/>
      <w:sz w:val="24"/>
    </w:rPr>
  </w:style>
  <w:style w:type="paragraph" w:customStyle="1" w:styleId="PI">
    <w:name w:val="PI"/>
    <w:rsid w:val="00026F86"/>
    <w:pPr>
      <w:spacing w:after="240"/>
      <w:ind w:left="360" w:hanging="360"/>
      <w:jc w:val="both"/>
    </w:pPr>
    <w:rPr>
      <w:rFonts w:ascii="Perpetua Std" w:hAnsi="Perpetua Std"/>
      <w:color w:val="000000"/>
      <w:sz w:val="24"/>
    </w:rPr>
  </w:style>
  <w:style w:type="paragraph" w:customStyle="1" w:styleId="PK">
    <w:name w:val="PK"/>
    <w:rsid w:val="00026F86"/>
    <w:pPr>
      <w:spacing w:after="240"/>
      <w:ind w:left="360" w:firstLine="288"/>
      <w:jc w:val="both"/>
    </w:pPr>
    <w:rPr>
      <w:rFonts w:ascii="Perpetua Std" w:hAnsi="Perpetua Std"/>
      <w:color w:val="000000"/>
      <w:sz w:val="24"/>
    </w:rPr>
  </w:style>
  <w:style w:type="paragraph" w:customStyle="1" w:styleId="PL">
    <w:name w:val="PL"/>
    <w:rsid w:val="00026F86"/>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026F86"/>
    <w:pPr>
      <w:spacing w:after="240"/>
      <w:ind w:left="432" w:right="432" w:firstLine="432"/>
      <w:jc w:val="both"/>
    </w:pPr>
    <w:rPr>
      <w:rFonts w:ascii="Minion Pro" w:hAnsi="Minion Pro"/>
    </w:rPr>
  </w:style>
  <w:style w:type="paragraph" w:customStyle="1" w:styleId="TOC">
    <w:name w:val="TOC"/>
    <w:autoRedefine/>
    <w:rsid w:val="00026F86"/>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026F86"/>
    <w:pPr>
      <w:tabs>
        <w:tab w:val="clear" w:pos="1440"/>
        <w:tab w:val="clear" w:pos="8640"/>
        <w:tab w:val="left" w:pos="240"/>
        <w:tab w:val="left" w:pos="480"/>
        <w:tab w:val="right" w:leader="dot" w:pos="4680"/>
      </w:tabs>
      <w:ind w:left="0" w:firstLine="0"/>
    </w:pPr>
    <w:rPr>
      <w:sz w:val="22"/>
    </w:rPr>
  </w:style>
  <w:style w:type="paragraph" w:customStyle="1" w:styleId="PP">
    <w:name w:val="PP"/>
    <w:rsid w:val="00026F86"/>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A">
    <w:name w:val="HA"/>
    <w:autoRedefine/>
    <w:rsid w:val="00026F86"/>
    <w:pPr>
      <w:spacing w:after="240"/>
      <w:jc w:val="center"/>
    </w:pPr>
    <w:rPr>
      <w:rFonts w:ascii="Helvetica LT Std" w:hAnsi="Helvetica LT Std"/>
      <w:b/>
      <w:caps/>
      <w:color w:val="000000"/>
      <w:sz w:val="36"/>
      <w:szCs w:val="32"/>
    </w:rPr>
  </w:style>
  <w:style w:type="paragraph" w:customStyle="1" w:styleId="HB">
    <w:name w:val="HB"/>
    <w:rsid w:val="00026F86"/>
    <w:pPr>
      <w:spacing w:before="120" w:after="240"/>
      <w:jc w:val="center"/>
    </w:pPr>
    <w:rPr>
      <w:rFonts w:ascii="Helvetica LT Std" w:hAnsi="Helvetica LT Std"/>
      <w:b/>
      <w:color w:val="5F5F5F"/>
      <w:w w:val="105"/>
      <w:sz w:val="32"/>
    </w:rPr>
  </w:style>
  <w:style w:type="paragraph" w:customStyle="1" w:styleId="HC">
    <w:name w:val="HC"/>
    <w:autoRedefine/>
    <w:rsid w:val="00026F86"/>
    <w:pPr>
      <w:tabs>
        <w:tab w:val="left" w:pos="284"/>
      </w:tabs>
      <w:spacing w:before="120" w:after="120"/>
      <w:jc w:val="center"/>
    </w:pPr>
    <w:rPr>
      <w:rFonts w:ascii="Helvetica LT Std" w:hAnsi="Helvetica LT Std"/>
      <w:b/>
      <w:color w:val="000000"/>
      <w:w w:val="110"/>
      <w:sz w:val="26"/>
    </w:rPr>
  </w:style>
  <w:style w:type="paragraph" w:customStyle="1" w:styleId="PR">
    <w:name w:val="PR"/>
    <w:rsid w:val="00026F86"/>
    <w:pPr>
      <w:spacing w:after="240"/>
      <w:ind w:left="360" w:firstLine="288"/>
      <w:jc w:val="both"/>
    </w:pPr>
    <w:rPr>
      <w:rFonts w:ascii="Adobe Caslon Pro" w:hAnsi="Adobe Caslon Pro"/>
      <w:color w:val="000000"/>
      <w:sz w:val="14"/>
    </w:rPr>
  </w:style>
  <w:style w:type="paragraph" w:customStyle="1" w:styleId="PO">
    <w:name w:val="PO"/>
    <w:rsid w:val="00026F86"/>
    <w:pPr>
      <w:spacing w:after="240"/>
      <w:jc w:val="both"/>
    </w:pPr>
    <w:rPr>
      <w:rFonts w:ascii="Perpetua Std" w:hAnsi="Perpetua Std"/>
      <w:color w:val="000000"/>
      <w:w w:val="95"/>
      <w:szCs w:val="16"/>
    </w:rPr>
  </w:style>
  <w:style w:type="paragraph" w:customStyle="1" w:styleId="GUIDEX">
    <w:name w:val="GUIDEX"/>
    <w:rsid w:val="00026F86"/>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026F86"/>
    <w:pPr>
      <w:tabs>
        <w:tab w:val="clear" w:pos="240"/>
        <w:tab w:val="clear" w:pos="480"/>
        <w:tab w:val="clear" w:pos="720"/>
        <w:tab w:val="right" w:pos="4680"/>
      </w:tabs>
    </w:pPr>
  </w:style>
  <w:style w:type="paragraph" w:customStyle="1" w:styleId="PCB">
    <w:name w:val="PCB"/>
    <w:autoRedefine/>
    <w:rsid w:val="00026F86"/>
    <w:pPr>
      <w:numPr>
        <w:numId w:val="26"/>
      </w:numPr>
      <w:tabs>
        <w:tab w:val="left" w:pos="720"/>
      </w:tabs>
      <w:spacing w:after="240"/>
      <w:ind w:left="720"/>
      <w:jc w:val="both"/>
    </w:pPr>
    <w:rPr>
      <w:rFonts w:ascii="Perpetua Std" w:hAnsi="Perpetua Std"/>
      <w:color w:val="000000"/>
      <w:sz w:val="24"/>
    </w:rPr>
  </w:style>
  <w:style w:type="paragraph" w:customStyle="1" w:styleId="PFB">
    <w:name w:val="PFB"/>
    <w:autoRedefine/>
    <w:rsid w:val="00026F86"/>
    <w:pPr>
      <w:numPr>
        <w:numId w:val="28"/>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026F86"/>
    <w:rPr>
      <w:rFonts w:ascii="Perpetua Std" w:hAnsi="Perpetua Std"/>
    </w:rPr>
  </w:style>
  <w:style w:type="paragraph" w:styleId="NoSpacing">
    <w:name w:val="No Spacing"/>
    <w:qFormat/>
    <w:rsid w:val="00026F86"/>
    <w:rPr>
      <w:rFonts w:ascii="Perpetua" w:hAnsi="Perpetua"/>
    </w:rPr>
  </w:style>
  <w:style w:type="paragraph" w:customStyle="1" w:styleId="PCA">
    <w:name w:val="PCA"/>
    <w:rsid w:val="00026F86"/>
    <w:pPr>
      <w:numPr>
        <w:numId w:val="29"/>
      </w:numPr>
      <w:tabs>
        <w:tab w:val="left" w:pos="720"/>
      </w:tabs>
      <w:spacing w:after="240"/>
      <w:jc w:val="both"/>
    </w:pPr>
    <w:rPr>
      <w:rFonts w:ascii="Perpetua Std" w:hAnsi="Perpetua Std"/>
      <w:sz w:val="24"/>
    </w:rPr>
  </w:style>
  <w:style w:type="paragraph" w:customStyle="1" w:styleId="PHB">
    <w:name w:val="PHB"/>
    <w:rsid w:val="00026F86"/>
    <w:pPr>
      <w:numPr>
        <w:numId w:val="30"/>
      </w:numPr>
      <w:tabs>
        <w:tab w:val="left" w:pos="360"/>
      </w:tabs>
      <w:spacing w:after="240"/>
      <w:jc w:val="both"/>
    </w:pPr>
    <w:rPr>
      <w:rFonts w:ascii="Perpetua Std" w:hAnsi="Perpetua Std"/>
      <w:sz w:val="24"/>
    </w:rPr>
  </w:style>
  <w:style w:type="character" w:customStyle="1" w:styleId="IndexChar">
    <w:name w:val="Index Char"/>
    <w:link w:val="Index"/>
    <w:rsid w:val="00026F86"/>
    <w:rPr>
      <w:rFonts w:ascii="Perpetua Std" w:eastAsia="MS Mincho" w:hAnsi="Perpetua Std"/>
      <w:color w:val="000000"/>
      <w:sz w:val="22"/>
    </w:rPr>
  </w:style>
  <w:style w:type="character" w:styleId="EndnoteReference">
    <w:name w:val="endnote reference"/>
    <w:semiHidden/>
    <w:rsid w:val="003844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2E413-AB4B-4245-8C19-6CED0511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8534. What are the Social Security tax rates for traditional employees and employers?</vt:lpstr>
    </vt:vector>
  </TitlesOfParts>
  <Company>Summit Business Media</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8534. What are the Social Security tax rates for traditional employees and employers?</dc:title>
  <dc:creator>Alexis Long</dc:creator>
  <cp:lastModifiedBy>rcline</cp:lastModifiedBy>
  <cp:revision>2</cp:revision>
  <dcterms:created xsi:type="dcterms:W3CDTF">2014-08-20T17:48:00Z</dcterms:created>
  <dcterms:modified xsi:type="dcterms:W3CDTF">2014-08-20T17:48:00Z</dcterms:modified>
</cp:coreProperties>
</file>