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6D" w:rsidRPr="005E2A6D" w:rsidRDefault="005E2A6D" w:rsidP="00097038">
      <w:pPr>
        <w:pStyle w:val="PA"/>
        <w:rPr>
          <w:b/>
        </w:rPr>
      </w:pPr>
      <w:bookmarkStart w:id="0" w:name="_GoBack"/>
      <w:bookmarkEnd w:id="0"/>
      <w:r w:rsidRPr="005E2A6D">
        <w:rPr>
          <w:b/>
        </w:rPr>
        <w:t>8525.  What income tax deduction may a taxpayer take for making a charitable donation to an organization classified as a private foundation?</w:t>
      </w:r>
    </w:p>
    <w:p w:rsidR="005E2A6D" w:rsidRDefault="005E2A6D" w:rsidP="00097038">
      <w:pPr>
        <w:pStyle w:val="PA"/>
      </w:pPr>
    </w:p>
    <w:p w:rsidR="00427B74" w:rsidRPr="00532B64" w:rsidRDefault="007D6D13" w:rsidP="00097038">
      <w:pPr>
        <w:pStyle w:val="PA"/>
      </w:pPr>
      <w:r w:rsidRPr="00532B64">
        <w:t xml:space="preserve">Most private foundations are family foundations subject to restricted contribution limits. Certain other private foundations (i.e., conduit foundations and private </w:t>
      </w:r>
      <w:r w:rsidRPr="00532B64">
        <w:rPr>
          <w:i/>
          <w:iCs/>
        </w:rPr>
        <w:t>operating</w:t>
      </w:r>
      <w:r w:rsidRPr="00532B64">
        <w:t xml:space="preserve"> foundations), which operate much like public charities, are treated as </w:t>
      </w:r>
      <w:r w:rsidR="000F7CA2">
        <w:t>public charities</w:t>
      </w:r>
      <w:r w:rsidR="00EE4324" w:rsidRPr="00532B64">
        <w:t xml:space="preserve"> (see </w:t>
      </w:r>
      <w:r w:rsidR="000465CA" w:rsidRPr="00532B64">
        <w:t>Q 85</w:t>
      </w:r>
      <w:r w:rsidR="00EE4324" w:rsidRPr="00532B64">
        <w:t>23)</w:t>
      </w:r>
      <w:r w:rsidRPr="00532B64">
        <w:t>.</w:t>
      </w:r>
      <w:r w:rsidRPr="00532B64">
        <w:rPr>
          <w:vertAlign w:val="superscript"/>
        </w:rPr>
        <w:footnoteReference w:id="1"/>
      </w:r>
      <w:r w:rsidRPr="00532B64">
        <w:t xml:space="preserve"> </w:t>
      </w:r>
      <w:r w:rsidR="000F7CA2">
        <w:t xml:space="preserve"> A private foundation is a charitable organization other than an organization described in IRC section 509(a</w:t>
      </w:r>
      <w:proofErr w:type="gramStart"/>
      <w:r w:rsidR="000F7CA2">
        <w:t>)(</w:t>
      </w:r>
      <w:proofErr w:type="gramEnd"/>
      <w:r w:rsidR="000F7CA2">
        <w:t xml:space="preserve">1) through (a)(4).  More specifically, a private foundation is usually a charitable organization that is 1) funded from a limited group such as an individual, family or company; 2) its expenses tend to be paid from investment earnings rather than regular charitable contributions; and 3) under certain circumstances it makes contributions to other charitable organizations. </w:t>
      </w:r>
      <w:r w:rsidRPr="00532B64">
        <w:t>The term “private foundations” as used under this heading refers to standard private (e.g., family) foundations.</w:t>
      </w:r>
    </w:p>
    <w:p w:rsidR="00427B74" w:rsidRPr="00532B64" w:rsidRDefault="007D6D13" w:rsidP="00097038">
      <w:pPr>
        <w:pStyle w:val="PA"/>
      </w:pPr>
      <w:r w:rsidRPr="00532B64">
        <w:t xml:space="preserve">The amount of the deduction for a contribution of appreciated property (tangible or intangible) contributed </w:t>
      </w:r>
      <w:r w:rsidRPr="00532B64">
        <w:rPr>
          <w:i/>
          <w:iCs/>
        </w:rPr>
        <w:t>to</w:t>
      </w:r>
      <w:r w:rsidRPr="00532B64">
        <w:t xml:space="preserve"> or </w:t>
      </w:r>
      <w:r w:rsidRPr="00532B64">
        <w:rPr>
          <w:i/>
          <w:iCs/>
        </w:rPr>
        <w:t>for the use of</w:t>
      </w:r>
      <w:r w:rsidRPr="00532B64">
        <w:t xml:space="preserve"> private foundations generally is limited to the donor’s adjusted basis</w:t>
      </w:r>
      <w:r w:rsidR="00EE4324" w:rsidRPr="00532B64">
        <w:t>.</w:t>
      </w:r>
      <w:r w:rsidR="00427B74" w:rsidRPr="00532B64">
        <w:t xml:space="preserve"> </w:t>
      </w:r>
      <w:r w:rsidR="00EE4324" w:rsidRPr="00532B64">
        <w:t>H</w:t>
      </w:r>
      <w:r w:rsidRPr="00532B64">
        <w:t xml:space="preserve">owever, certain gifts of </w:t>
      </w:r>
      <w:r w:rsidR="00C035E6" w:rsidRPr="005E2A6D">
        <w:rPr>
          <w:iCs/>
        </w:rPr>
        <w:t>qualified appreciated stock</w:t>
      </w:r>
      <w:r w:rsidRPr="00532B64">
        <w:t xml:space="preserve"> made to a private foundation are deductible at their full fair market value.</w:t>
      </w:r>
      <w:r w:rsidRPr="00532B64">
        <w:rPr>
          <w:vertAlign w:val="superscript"/>
        </w:rPr>
        <w:footnoteReference w:id="2"/>
      </w:r>
    </w:p>
    <w:p w:rsidR="007D6D13" w:rsidRPr="00532B64" w:rsidRDefault="00C035E6" w:rsidP="00097038">
      <w:pPr>
        <w:pStyle w:val="PA"/>
      </w:pPr>
      <w:r w:rsidRPr="005E2A6D">
        <w:rPr>
          <w:iCs/>
        </w:rPr>
        <w:t>Qualified appreciated stock</w:t>
      </w:r>
      <w:r w:rsidR="007D6D13" w:rsidRPr="00532B64">
        <w:t xml:space="preserve"> is generally publicly traded stock which, if sold on the date of contribution at its fair market value, would result in a long-term capital gain.</w:t>
      </w:r>
      <w:r w:rsidR="007D6D13" w:rsidRPr="00532B64">
        <w:rPr>
          <w:vertAlign w:val="superscript"/>
        </w:rPr>
        <w:footnoteReference w:id="3"/>
      </w:r>
      <w:r w:rsidR="007D6D13" w:rsidRPr="00532B64">
        <w:t xml:space="preserve"> Such a contribution will not constitute qualified appreciated stock to the extent that it exceeds 10</w:t>
      </w:r>
      <w:r w:rsidR="00EE4324" w:rsidRPr="00532B64">
        <w:t xml:space="preserve"> percent</w:t>
      </w:r>
      <w:r w:rsidR="007D6D13" w:rsidRPr="00532B64">
        <w:t xml:space="preserve"> of the value of all outstanding stock of the corporation</w:t>
      </w:r>
      <w:r w:rsidR="00EE4324" w:rsidRPr="00532B64">
        <w:t>.</w:t>
      </w:r>
      <w:r w:rsidR="007D6D13" w:rsidRPr="00532B64">
        <w:t xml:space="preserve"> </w:t>
      </w:r>
      <w:r w:rsidR="00EE4324" w:rsidRPr="00532B64">
        <w:t>F</w:t>
      </w:r>
      <w:r w:rsidR="007D6D13" w:rsidRPr="00532B64">
        <w:t>amily attribution rules apply in reaching the 10</w:t>
      </w:r>
      <w:r w:rsidR="00EE4324" w:rsidRPr="00532B64">
        <w:t xml:space="preserve"> percent</w:t>
      </w:r>
      <w:r w:rsidR="007D6D13" w:rsidRPr="00532B64">
        <w:t xml:space="preserve"> level.</w:t>
      </w:r>
      <w:r w:rsidR="007D6D13" w:rsidRPr="00532B64">
        <w:rPr>
          <w:vertAlign w:val="superscript"/>
        </w:rPr>
        <w:footnoteReference w:id="4"/>
      </w:r>
      <w:r w:rsidR="007D6D13" w:rsidRPr="00532B64">
        <w:t xml:space="preserve"> The </w:t>
      </w:r>
      <w:r w:rsidR="00EE4324" w:rsidRPr="00532B64">
        <w:t xml:space="preserve">IRS </w:t>
      </w:r>
      <w:r w:rsidR="007D6D13" w:rsidRPr="00532B64">
        <w:t>has determined that shares in a mutual fund can constitute qualified appreciated stock.</w:t>
      </w:r>
      <w:r w:rsidR="007D6D13" w:rsidRPr="00532B64">
        <w:rPr>
          <w:vertAlign w:val="superscript"/>
        </w:rPr>
        <w:footnoteReference w:id="5"/>
      </w:r>
    </w:p>
    <w:p w:rsidR="00427B74" w:rsidRPr="00532B64" w:rsidRDefault="00310C38" w:rsidP="00097038">
      <w:pPr>
        <w:pStyle w:val="PP"/>
      </w:pPr>
      <w:r w:rsidRPr="00532B64">
        <w:rPr>
          <w:b/>
        </w:rPr>
        <w:t>Planning Point:</w:t>
      </w:r>
      <w:r w:rsidR="00427B74" w:rsidRPr="00532B64">
        <w:t xml:space="preserve"> </w:t>
      </w:r>
      <w:r w:rsidRPr="00532B64">
        <w:t xml:space="preserve">Donor Advised Funds are an increasingly popular way </w:t>
      </w:r>
      <w:r w:rsidR="00974546">
        <w:t>for a donor to obtain</w:t>
      </w:r>
      <w:r w:rsidRPr="00532B64">
        <w:t xml:space="preserve"> more choice and control over how and when </w:t>
      </w:r>
      <w:r w:rsidR="00974546">
        <w:t>taxation occurs</w:t>
      </w:r>
      <w:r w:rsidRPr="00532B64">
        <w:t xml:space="preserve">. A donor can wait to make a charitable contribution until the end of the calendar year, after the donor knows how much the donor wants (and is able) to deduct, make a gift to a </w:t>
      </w:r>
      <w:r w:rsidR="000F7CA2">
        <w:t>public charity</w:t>
      </w:r>
      <w:r w:rsidRPr="00532B64">
        <w:t>, and then decide the recipients of the donation at a future date.</w:t>
      </w:r>
    </w:p>
    <w:p w:rsidR="00427B74" w:rsidRPr="00532B64" w:rsidRDefault="00310C38" w:rsidP="00097038">
      <w:pPr>
        <w:pStyle w:val="PP"/>
      </w:pPr>
      <w:r w:rsidRPr="00532B64">
        <w:rPr>
          <w:b/>
        </w:rPr>
        <w:t>Planning Point</w:t>
      </w:r>
      <w:r w:rsidRPr="00532B64">
        <w:t>:</w:t>
      </w:r>
      <w:r w:rsidR="00427B74" w:rsidRPr="00532B64">
        <w:t xml:space="preserve"> </w:t>
      </w:r>
      <w:r w:rsidRPr="00532B64">
        <w:t>From a tax perspective, it is not advisable to donate an investment with a taxable loss.</w:t>
      </w:r>
      <w:r w:rsidR="00427B74" w:rsidRPr="00532B64">
        <w:t xml:space="preserve"> </w:t>
      </w:r>
      <w:r w:rsidR="000F7CA2">
        <w:t xml:space="preserve">This is because the transfer of loss property to a charity does not allow for the taxpayer to claim the loss.  </w:t>
      </w:r>
      <w:r w:rsidRPr="00532B64">
        <w:t xml:space="preserve">In this situation, the taxpayer </w:t>
      </w:r>
      <w:r w:rsidR="000F7CA2">
        <w:t>should consider selling the investment in order to claim a taxable loss; and, then make a deductible charitable contribution of the proceeds from the sale.</w:t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2E" w:rsidRDefault="00F7332E" w:rsidP="006F074C">
      <w:r>
        <w:separator/>
      </w:r>
    </w:p>
  </w:endnote>
  <w:endnote w:type="continuationSeparator" w:id="0">
    <w:p w:rsidR="00F7332E" w:rsidRDefault="00F7332E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2E" w:rsidRDefault="00F7332E" w:rsidP="006F074C">
      <w:r>
        <w:separator/>
      </w:r>
    </w:p>
  </w:footnote>
  <w:footnote w:type="continuationSeparator" w:id="0">
    <w:p w:rsidR="00F7332E" w:rsidRDefault="00F7332E" w:rsidP="006F074C">
      <w:r>
        <w:continuationSeparator/>
      </w:r>
    </w:p>
  </w:footnote>
  <w:footnote w:id="1">
    <w:p w:rsidR="00D73FC0" w:rsidRPr="00DF66AC" w:rsidRDefault="00D73FC0" w:rsidP="00FE5D9D">
      <w:pPr>
        <w:pStyle w:val="PQ"/>
      </w:pPr>
      <w:r w:rsidRPr="00DF66AC">
        <w:footnoteRef/>
      </w:r>
      <w:r w:rsidR="00F16B3F">
        <w:t>.</w:t>
      </w:r>
      <w:r w:rsidR="00F16B3F">
        <w:tab/>
      </w:r>
      <w:r w:rsidR="00FE5D9D" w:rsidRPr="00DF66AC">
        <w:t xml:space="preserve">See IRC </w:t>
      </w:r>
      <w:proofErr w:type="spellStart"/>
      <w:r w:rsidR="00FE5D9D" w:rsidRPr="00DF66AC">
        <w:t>Secs</w:t>
      </w:r>
      <w:proofErr w:type="spellEnd"/>
      <w:r w:rsidR="00FE5D9D" w:rsidRPr="00DF66AC">
        <w:t>. 170(b</w:t>
      </w:r>
      <w:proofErr w:type="gramStart"/>
      <w:r w:rsidR="00FE5D9D" w:rsidRPr="00DF66AC">
        <w:t>)(</w:t>
      </w:r>
      <w:proofErr w:type="gramEnd"/>
      <w:r w:rsidR="00FE5D9D" w:rsidRPr="00DF66AC">
        <w:t>1)(E), 170(b)(1)(A)(vii).</w:t>
      </w:r>
    </w:p>
  </w:footnote>
  <w:footnote w:id="2">
    <w:p w:rsidR="00D73FC0" w:rsidRPr="00DF66AC" w:rsidRDefault="00D73FC0" w:rsidP="00FE5D9D">
      <w:pPr>
        <w:pStyle w:val="PQ"/>
      </w:pPr>
      <w:r w:rsidRPr="00DF66AC">
        <w:footnoteRef/>
      </w:r>
      <w:r w:rsidR="00F16B3F">
        <w:rPr>
          <w:lang w:val="de-DE"/>
        </w:rPr>
        <w:t>.</w:t>
      </w:r>
      <w:r w:rsidR="00F16B3F">
        <w:rPr>
          <w:lang w:val="de-DE"/>
        </w:rPr>
        <w:tab/>
      </w:r>
      <w:r w:rsidR="00FE5D9D" w:rsidRPr="00DF66AC">
        <w:rPr>
          <w:lang w:val="de-DE"/>
        </w:rPr>
        <w:t>IRC Sec. 170(e)(5).</w:t>
      </w:r>
    </w:p>
  </w:footnote>
  <w:footnote w:id="3">
    <w:p w:rsidR="00D73FC0" w:rsidRPr="00DF66AC" w:rsidRDefault="00D73FC0" w:rsidP="00FE5D9D">
      <w:pPr>
        <w:pStyle w:val="PQ"/>
      </w:pPr>
      <w:r w:rsidRPr="00DF66AC">
        <w:footnoteRef/>
      </w:r>
      <w:r w:rsidR="00F16B3F">
        <w:rPr>
          <w:lang w:val="de-DE"/>
        </w:rPr>
        <w:t>.</w:t>
      </w:r>
      <w:r w:rsidR="00F16B3F">
        <w:rPr>
          <w:lang w:val="de-DE"/>
        </w:rPr>
        <w:tab/>
      </w:r>
      <w:r w:rsidR="00FE5D9D" w:rsidRPr="00DF66AC">
        <w:rPr>
          <w:lang w:val="de-DE"/>
        </w:rPr>
        <w:t>IRC Sec. 170(e)(5).</w:t>
      </w:r>
    </w:p>
  </w:footnote>
  <w:footnote w:id="4">
    <w:p w:rsidR="00D73FC0" w:rsidRPr="00DF66AC" w:rsidRDefault="00D73FC0" w:rsidP="00FE5D9D">
      <w:pPr>
        <w:pStyle w:val="PQ"/>
      </w:pPr>
      <w:r w:rsidRPr="00DF66AC">
        <w:footnoteRef/>
      </w:r>
      <w:r w:rsidR="00F16B3F">
        <w:t>.</w:t>
      </w:r>
      <w:r w:rsidR="00F16B3F">
        <w:tab/>
      </w:r>
      <w:r w:rsidR="00FE5D9D" w:rsidRPr="00DF66AC">
        <w:t>IRC Sec. 170(e</w:t>
      </w:r>
      <w:proofErr w:type="gramStart"/>
      <w:r w:rsidR="00FE5D9D" w:rsidRPr="00DF66AC">
        <w:t>)(</w:t>
      </w:r>
      <w:proofErr w:type="gramEnd"/>
      <w:r w:rsidR="00FE5D9D" w:rsidRPr="00DF66AC">
        <w:t>5)(C).</w:t>
      </w:r>
    </w:p>
  </w:footnote>
  <w:footnote w:id="5">
    <w:p w:rsidR="00D73FC0" w:rsidRPr="00DF66AC" w:rsidRDefault="00D73FC0" w:rsidP="00FE5D9D">
      <w:pPr>
        <w:pStyle w:val="PQ"/>
      </w:pPr>
      <w:r w:rsidRPr="00DF66AC">
        <w:footnoteRef/>
      </w:r>
      <w:r w:rsidR="00F16B3F">
        <w:t>.</w:t>
      </w:r>
      <w:r w:rsidR="00F16B3F">
        <w:tab/>
      </w:r>
      <w:r w:rsidR="00FE5D9D" w:rsidRPr="00DF66AC">
        <w:t>Let. Rul. 199925029. See also Let. Rul. 200322005 (ADRs are qualified appreciated stock).</w:t>
      </w:r>
      <w:r w:rsidR="00DA3F9D">
        <w:t xml:space="preserve">  Instruction for Form 8283 (Rev. December 2013).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52E"/>
    <w:rsid w:val="00043906"/>
    <w:rsid w:val="000465CA"/>
    <w:rsid w:val="0008018A"/>
    <w:rsid w:val="00083567"/>
    <w:rsid w:val="000925AB"/>
    <w:rsid w:val="00097038"/>
    <w:rsid w:val="000A2B66"/>
    <w:rsid w:val="000A6CAB"/>
    <w:rsid w:val="000B5F82"/>
    <w:rsid w:val="000B6372"/>
    <w:rsid w:val="000D258D"/>
    <w:rsid w:val="000D6146"/>
    <w:rsid w:val="000E6BBB"/>
    <w:rsid w:val="000F7CA2"/>
    <w:rsid w:val="00114F5B"/>
    <w:rsid w:val="00116205"/>
    <w:rsid w:val="001244E9"/>
    <w:rsid w:val="00141FAB"/>
    <w:rsid w:val="0017741C"/>
    <w:rsid w:val="00197132"/>
    <w:rsid w:val="0019748C"/>
    <w:rsid w:val="001A2727"/>
    <w:rsid w:val="001D0595"/>
    <w:rsid w:val="001E1AC3"/>
    <w:rsid w:val="001F15E8"/>
    <w:rsid w:val="001F52F4"/>
    <w:rsid w:val="002000C6"/>
    <w:rsid w:val="00202A9B"/>
    <w:rsid w:val="00202F50"/>
    <w:rsid w:val="002040BD"/>
    <w:rsid w:val="00212ED8"/>
    <w:rsid w:val="00215092"/>
    <w:rsid w:val="00242C92"/>
    <w:rsid w:val="00243A4C"/>
    <w:rsid w:val="00264FD9"/>
    <w:rsid w:val="00271A21"/>
    <w:rsid w:val="00287277"/>
    <w:rsid w:val="002B58F5"/>
    <w:rsid w:val="002D14BD"/>
    <w:rsid w:val="002D34B1"/>
    <w:rsid w:val="002E46AF"/>
    <w:rsid w:val="002E4BFB"/>
    <w:rsid w:val="002F6745"/>
    <w:rsid w:val="00310C38"/>
    <w:rsid w:val="0032167A"/>
    <w:rsid w:val="00323E1D"/>
    <w:rsid w:val="00327BDB"/>
    <w:rsid w:val="00355BC4"/>
    <w:rsid w:val="00360557"/>
    <w:rsid w:val="00377919"/>
    <w:rsid w:val="003B1DF7"/>
    <w:rsid w:val="003B450F"/>
    <w:rsid w:val="003B65D8"/>
    <w:rsid w:val="003C1548"/>
    <w:rsid w:val="003F00D7"/>
    <w:rsid w:val="003F05E5"/>
    <w:rsid w:val="003F1B81"/>
    <w:rsid w:val="00407D8B"/>
    <w:rsid w:val="004167F4"/>
    <w:rsid w:val="00427B74"/>
    <w:rsid w:val="00435B94"/>
    <w:rsid w:val="00456493"/>
    <w:rsid w:val="00474C65"/>
    <w:rsid w:val="00484642"/>
    <w:rsid w:val="00487A39"/>
    <w:rsid w:val="004C5F26"/>
    <w:rsid w:val="004E7836"/>
    <w:rsid w:val="00501B90"/>
    <w:rsid w:val="00511E10"/>
    <w:rsid w:val="00521FCB"/>
    <w:rsid w:val="005223B9"/>
    <w:rsid w:val="00532B64"/>
    <w:rsid w:val="005611F2"/>
    <w:rsid w:val="00565698"/>
    <w:rsid w:val="0056737A"/>
    <w:rsid w:val="00573817"/>
    <w:rsid w:val="00590D68"/>
    <w:rsid w:val="005A7B2C"/>
    <w:rsid w:val="005B0930"/>
    <w:rsid w:val="005B53F2"/>
    <w:rsid w:val="005C64AC"/>
    <w:rsid w:val="005E18C8"/>
    <w:rsid w:val="005E1E5E"/>
    <w:rsid w:val="005E1F03"/>
    <w:rsid w:val="005E2A6D"/>
    <w:rsid w:val="005E3CAD"/>
    <w:rsid w:val="006152E6"/>
    <w:rsid w:val="0061599B"/>
    <w:rsid w:val="00660C3B"/>
    <w:rsid w:val="00664BF0"/>
    <w:rsid w:val="00667AE6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865B2"/>
    <w:rsid w:val="00786F5E"/>
    <w:rsid w:val="00794370"/>
    <w:rsid w:val="007B5A4F"/>
    <w:rsid w:val="007D39E8"/>
    <w:rsid w:val="007D6D13"/>
    <w:rsid w:val="007D7748"/>
    <w:rsid w:val="0080472F"/>
    <w:rsid w:val="00804FC2"/>
    <w:rsid w:val="00820AFE"/>
    <w:rsid w:val="00822D27"/>
    <w:rsid w:val="008316E9"/>
    <w:rsid w:val="00835C56"/>
    <w:rsid w:val="00844B76"/>
    <w:rsid w:val="008864E6"/>
    <w:rsid w:val="008A42E4"/>
    <w:rsid w:val="008B16D5"/>
    <w:rsid w:val="008C2D90"/>
    <w:rsid w:val="008C54CA"/>
    <w:rsid w:val="008D4B69"/>
    <w:rsid w:val="008E11EC"/>
    <w:rsid w:val="008E4CF6"/>
    <w:rsid w:val="008F7667"/>
    <w:rsid w:val="009003A2"/>
    <w:rsid w:val="00920178"/>
    <w:rsid w:val="00944E4E"/>
    <w:rsid w:val="0095488D"/>
    <w:rsid w:val="00957231"/>
    <w:rsid w:val="009626DD"/>
    <w:rsid w:val="00966DE1"/>
    <w:rsid w:val="00974546"/>
    <w:rsid w:val="0097483E"/>
    <w:rsid w:val="009938E4"/>
    <w:rsid w:val="009C0B32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A87CEF"/>
    <w:rsid w:val="00B15D08"/>
    <w:rsid w:val="00B20CBB"/>
    <w:rsid w:val="00B47F6C"/>
    <w:rsid w:val="00B97105"/>
    <w:rsid w:val="00BA22F5"/>
    <w:rsid w:val="00BC19F7"/>
    <w:rsid w:val="00BC5792"/>
    <w:rsid w:val="00BC6F51"/>
    <w:rsid w:val="00BE317F"/>
    <w:rsid w:val="00BF4BC0"/>
    <w:rsid w:val="00C035E6"/>
    <w:rsid w:val="00C15AF0"/>
    <w:rsid w:val="00C1615A"/>
    <w:rsid w:val="00C3032D"/>
    <w:rsid w:val="00C360BE"/>
    <w:rsid w:val="00C5496F"/>
    <w:rsid w:val="00C64FEC"/>
    <w:rsid w:val="00C7768E"/>
    <w:rsid w:val="00C92346"/>
    <w:rsid w:val="00CA76E6"/>
    <w:rsid w:val="00CB0A35"/>
    <w:rsid w:val="00CB0AF1"/>
    <w:rsid w:val="00CD22F0"/>
    <w:rsid w:val="00CF5092"/>
    <w:rsid w:val="00D0195D"/>
    <w:rsid w:val="00D418E3"/>
    <w:rsid w:val="00D51611"/>
    <w:rsid w:val="00D72E05"/>
    <w:rsid w:val="00D73FC0"/>
    <w:rsid w:val="00D81626"/>
    <w:rsid w:val="00DA3F9D"/>
    <w:rsid w:val="00DB3BF0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76573"/>
    <w:rsid w:val="00E8579E"/>
    <w:rsid w:val="00E9415A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03C24"/>
    <w:rsid w:val="00F118CC"/>
    <w:rsid w:val="00F16B3F"/>
    <w:rsid w:val="00F66D50"/>
    <w:rsid w:val="00F7332E"/>
    <w:rsid w:val="00F86D4B"/>
    <w:rsid w:val="00F96BEC"/>
    <w:rsid w:val="00F9714F"/>
    <w:rsid w:val="00FB7360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8C54CA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8C54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C54C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C54CA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8C54CA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8C54CA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8C54CA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8C54CA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8C54CA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8C54CA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8C54CA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8C54CA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8C54CA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8C54CA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8C54CA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8C54CA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8C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5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8C54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8C54CA"/>
    <w:pPr>
      <w:spacing w:before="144"/>
      <w:jc w:val="both"/>
    </w:pPr>
    <w:rPr>
      <w:noProof/>
    </w:rPr>
  </w:style>
  <w:style w:type="paragraph" w:customStyle="1" w:styleId="PD">
    <w:name w:val="PD"/>
    <w:rsid w:val="008C54CA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8C54CA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8C54CA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8C54CA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8C54CA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8C54CA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8C54CA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8C54CA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8C54CA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8C54CA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8C54CA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8C54CA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8C54CA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8C54CA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8C54CA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8C54CA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8C54CA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8C54CA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8C54CA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8C54CA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8C54CA"/>
    <w:rPr>
      <w:rFonts w:ascii="Perpetua Std" w:hAnsi="Perpetua Std"/>
    </w:rPr>
  </w:style>
  <w:style w:type="paragraph" w:styleId="NoSpacing">
    <w:name w:val="No Spacing"/>
    <w:qFormat/>
    <w:rsid w:val="008C54CA"/>
    <w:rPr>
      <w:rFonts w:ascii="Perpetua" w:hAnsi="Perpetua"/>
    </w:rPr>
  </w:style>
  <w:style w:type="paragraph" w:customStyle="1" w:styleId="PCA">
    <w:name w:val="PCA"/>
    <w:rsid w:val="008C54CA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8C54CA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8C54CA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8C54CA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8C54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C54C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C54CA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8C54CA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8C54CA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8C54CA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8C54CA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8C54CA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8C54CA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8C54CA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8C54CA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8C54CA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8C54CA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8C54CA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8C54CA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8C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5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8C54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8C54CA"/>
    <w:pPr>
      <w:spacing w:before="144"/>
      <w:jc w:val="both"/>
    </w:pPr>
    <w:rPr>
      <w:noProof/>
    </w:rPr>
  </w:style>
  <w:style w:type="paragraph" w:customStyle="1" w:styleId="PD">
    <w:name w:val="PD"/>
    <w:rsid w:val="008C54CA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8C54CA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8C54CA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8C54CA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8C54CA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8C54CA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8C54CA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8C54CA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8C54CA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8C54CA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8C54CA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8C54CA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8C54CA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8C54CA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8C54CA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8C54CA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8C54CA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8C54CA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8C54CA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8C54CA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8C54CA"/>
    <w:rPr>
      <w:rFonts w:ascii="Perpetua Std" w:hAnsi="Perpetua Std"/>
    </w:rPr>
  </w:style>
  <w:style w:type="paragraph" w:styleId="NoSpacing">
    <w:name w:val="No Spacing"/>
    <w:qFormat/>
    <w:rsid w:val="008C54CA"/>
    <w:rPr>
      <w:rFonts w:ascii="Perpetua" w:hAnsi="Perpetua"/>
    </w:rPr>
  </w:style>
  <w:style w:type="paragraph" w:customStyle="1" w:styleId="PCA">
    <w:name w:val="PCA"/>
    <w:rsid w:val="008C54CA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8C54CA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8C54CA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8525. What income tax deduction may a taxpayer take for making a charitable donation to an organization that is classified as a private foundation?</vt:lpstr>
    </vt:vector>
  </TitlesOfParts>
  <Company>Summit Business Media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8525. What income tax deduction may a taxpayer take for making a charitable donation to an organization that is classified as a private foundation?</dc:title>
  <dc:creator>Alexis Long</dc:creator>
  <cp:lastModifiedBy>rcline</cp:lastModifiedBy>
  <cp:revision>2</cp:revision>
  <dcterms:created xsi:type="dcterms:W3CDTF">2014-08-20T16:56:00Z</dcterms:created>
  <dcterms:modified xsi:type="dcterms:W3CDTF">2014-08-20T16:56:00Z</dcterms:modified>
</cp:coreProperties>
</file>