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E" w:rsidRPr="00F90A0E" w:rsidRDefault="001971FB" w:rsidP="00F90A0E">
      <w:pPr>
        <w:pStyle w:val="PA"/>
        <w:rPr>
          <w:b/>
          <w:sz w:val="28"/>
          <w:szCs w:val="28"/>
        </w:rPr>
      </w:pPr>
      <w:r>
        <w:rPr>
          <w:b/>
          <w:sz w:val="28"/>
          <w:szCs w:val="28"/>
        </w:rPr>
        <w:t>8523.  How much of a charitable contribution is deductible</w:t>
      </w:r>
      <w:r w:rsidR="00F90A0E" w:rsidRPr="00F90A0E">
        <w:rPr>
          <w:b/>
          <w:sz w:val="28"/>
          <w:szCs w:val="28"/>
        </w:rPr>
        <w:t>?</w:t>
      </w:r>
    </w:p>
    <w:p w:rsidR="00697BD7" w:rsidRPr="00532B64" w:rsidRDefault="007D6D13" w:rsidP="00697BD7">
      <w:pPr>
        <w:pStyle w:val="PA"/>
      </w:pPr>
      <w:r w:rsidRPr="00532B64">
        <w:t xml:space="preserve">An individual who itemizes may take a deduction for certain contributions “to” or “for the use of” charitable organizations. </w:t>
      </w:r>
      <w:r w:rsidR="00697BD7" w:rsidRPr="00532B64">
        <w:t>A gift is made “to” a charitable organization if it is a direct gift of property to the charitable organization. An indirect contribution of an interest in property to a charity that does not result in a complete gift of the property itself is considered to be a contribution “for the use of” the charity. For example, a gift of an income interest in property, but not the underlying property itself, to charity is considered to be a gift “for the use of” the charity.</w:t>
      </w:r>
      <w:r w:rsidR="00697BD7" w:rsidRPr="00532B64">
        <w:rPr>
          <w:vertAlign w:val="superscript"/>
        </w:rPr>
        <w:footnoteReference w:id="1"/>
      </w:r>
      <w:r w:rsidR="00697BD7" w:rsidRPr="00532B64">
        <w:t xml:space="preserve"> </w:t>
      </w:r>
      <w:r w:rsidR="00697BD7">
        <w:t xml:space="preserve"> </w:t>
      </w:r>
      <w:r w:rsidR="00697BD7" w:rsidRPr="00532B64">
        <w:t>The term “for the use of” does not refer to a gift of the right to use property</w:t>
      </w:r>
      <w:r w:rsidR="004A0722">
        <w:t xml:space="preserve"> such as office space</w:t>
      </w:r>
      <w:r w:rsidR="00697BD7" w:rsidRPr="00532B64">
        <w:t>. Such a gift would generally be a nondeductible gift.</w:t>
      </w:r>
    </w:p>
    <w:p w:rsidR="00427B74" w:rsidRPr="00532B64" w:rsidRDefault="007D6D13" w:rsidP="00097038">
      <w:pPr>
        <w:pStyle w:val="PA"/>
      </w:pPr>
      <w:r w:rsidRPr="00532B64">
        <w:t xml:space="preserve">The amount that may be deducted by </w:t>
      </w:r>
      <w:r w:rsidR="00EE366E" w:rsidRPr="00532B64">
        <w:t>the taxpayer</w:t>
      </w:r>
      <w:r w:rsidRPr="00532B64">
        <w:t xml:space="preserve"> in any </w:t>
      </w:r>
      <w:r w:rsidR="00EE366E" w:rsidRPr="00532B64">
        <w:t xml:space="preserve">tax </w:t>
      </w:r>
      <w:r w:rsidRPr="00532B64">
        <w:t xml:space="preserve">year is subject to the income percentage </w:t>
      </w:r>
      <w:r w:rsidR="008A56CD">
        <w:t xml:space="preserve">ceilings </w:t>
      </w:r>
      <w:r w:rsidRPr="00532B64">
        <w:t xml:space="preserve">explained below. The </w:t>
      </w:r>
      <w:r w:rsidR="008A56CD">
        <w:t xml:space="preserve">amount of the contribution depends on whether it is a gift of money or property; and, if the latter, </w:t>
      </w:r>
      <w:r w:rsidRPr="00532B64">
        <w:t>the type of property</w:t>
      </w:r>
      <w:r w:rsidR="008A56CD">
        <w:t>.  Also, for any charitable gift, the type of charity is also relevant.  T</w:t>
      </w:r>
      <w:r w:rsidR="00EE366E" w:rsidRPr="00532B64">
        <w:t xml:space="preserve">hese </w:t>
      </w:r>
      <w:r w:rsidRPr="00532B64">
        <w:t xml:space="preserve">rules are explained </w:t>
      </w:r>
      <w:r w:rsidR="00EE4324" w:rsidRPr="00532B64">
        <w:t xml:space="preserve">in </w:t>
      </w:r>
      <w:r w:rsidR="000465CA" w:rsidRPr="00532B64">
        <w:t>Q 85</w:t>
      </w:r>
      <w:r w:rsidR="005B53F2" w:rsidRPr="00532B64">
        <w:t xml:space="preserve">24 and </w:t>
      </w:r>
      <w:r w:rsidR="000465CA" w:rsidRPr="00532B64">
        <w:t>Q 85</w:t>
      </w:r>
      <w:r w:rsidR="005B53F2" w:rsidRPr="00532B64">
        <w:t>25</w:t>
      </w:r>
      <w:r w:rsidRPr="00532B64">
        <w:t>.</w:t>
      </w:r>
    </w:p>
    <w:p w:rsidR="00427B74" w:rsidRDefault="00EE366E" w:rsidP="00097038">
      <w:pPr>
        <w:pStyle w:val="PA"/>
      </w:pPr>
      <w:r w:rsidRPr="00532B64">
        <w:t xml:space="preserve">Charitable giving is discussed in detail in </w:t>
      </w:r>
      <w:r w:rsidR="000465CA" w:rsidRPr="00532B64">
        <w:t>Q 88</w:t>
      </w:r>
      <w:r w:rsidR="00DD68C3" w:rsidRPr="00532B64">
        <w:t xml:space="preserve">58 </w:t>
      </w:r>
      <w:r w:rsidR="00427B74" w:rsidRPr="00532B64">
        <w:t xml:space="preserve">to </w:t>
      </w:r>
      <w:r w:rsidR="000465CA" w:rsidRPr="00532B64">
        <w:t>Q 88</w:t>
      </w:r>
      <w:r w:rsidR="00DD68C3" w:rsidRPr="00532B64">
        <w:t>72</w:t>
      </w:r>
      <w:r w:rsidRPr="00532B64">
        <w:t>.</w:t>
      </w:r>
    </w:p>
    <w:p w:rsidR="001971FB" w:rsidRPr="00F90A0E" w:rsidRDefault="001971FB" w:rsidP="001971FB">
      <w:pPr>
        <w:pStyle w:val="PA"/>
        <w:rPr>
          <w:b/>
          <w:sz w:val="28"/>
          <w:szCs w:val="28"/>
        </w:rPr>
      </w:pPr>
      <w:r w:rsidRPr="00F90A0E">
        <w:rPr>
          <w:b/>
          <w:sz w:val="28"/>
          <w:szCs w:val="28"/>
        </w:rPr>
        <w:t>8523.</w:t>
      </w:r>
      <w:r>
        <w:rPr>
          <w:b/>
          <w:sz w:val="28"/>
          <w:szCs w:val="28"/>
        </w:rPr>
        <w:t>02</w:t>
      </w:r>
      <w:r w:rsidRPr="00F90A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90A0E">
        <w:rPr>
          <w:b/>
          <w:sz w:val="28"/>
          <w:szCs w:val="28"/>
        </w:rPr>
        <w:t xml:space="preserve">What are the income percentage </w:t>
      </w:r>
      <w:r>
        <w:rPr>
          <w:b/>
          <w:sz w:val="28"/>
          <w:szCs w:val="28"/>
        </w:rPr>
        <w:t>ceilings that limit</w:t>
      </w:r>
      <w:r w:rsidRPr="00F90A0E">
        <w:rPr>
          <w:b/>
          <w:sz w:val="28"/>
          <w:szCs w:val="28"/>
        </w:rPr>
        <w:t xml:space="preserve"> the income tax deduction </w:t>
      </w:r>
      <w:r>
        <w:rPr>
          <w:b/>
          <w:sz w:val="28"/>
          <w:szCs w:val="28"/>
        </w:rPr>
        <w:t xml:space="preserve">for </w:t>
      </w:r>
      <w:r w:rsidRPr="00F90A0E">
        <w:rPr>
          <w:b/>
          <w:sz w:val="28"/>
          <w:szCs w:val="28"/>
        </w:rPr>
        <w:t xml:space="preserve">charitable </w:t>
      </w:r>
      <w:r w:rsidR="00281FB7" w:rsidRPr="00F90A0E">
        <w:rPr>
          <w:b/>
          <w:sz w:val="28"/>
          <w:szCs w:val="28"/>
        </w:rPr>
        <w:t>contributions</w:t>
      </w:r>
      <w:r w:rsidR="00281FB7">
        <w:rPr>
          <w:b/>
          <w:sz w:val="28"/>
          <w:szCs w:val="28"/>
        </w:rPr>
        <w:t>?</w:t>
      </w:r>
    </w:p>
    <w:p w:rsidR="00427B74" w:rsidRDefault="001971FB" w:rsidP="00097038">
      <w:pPr>
        <w:pStyle w:val="PA"/>
      </w:pPr>
      <w:r>
        <w:rPr>
          <w:i/>
          <w:iCs/>
        </w:rPr>
        <w:t>50% ceiling</w:t>
      </w:r>
      <w:r>
        <w:t xml:space="preserve">. For a </w:t>
      </w:r>
      <w:r w:rsidR="008C5850">
        <w:t xml:space="preserve">charitable </w:t>
      </w:r>
      <w:r>
        <w:t>contribution of money, an</w:t>
      </w:r>
      <w:r w:rsidR="007D6D13" w:rsidRPr="00532B64">
        <w:t xml:space="preserve"> individual is allowed a charitable deduction of up to 50</w:t>
      </w:r>
      <w:r>
        <w:t>%</w:t>
      </w:r>
      <w:r w:rsidR="007D6D13" w:rsidRPr="00532B64">
        <w:t xml:space="preserve"> </w:t>
      </w:r>
      <w:r w:rsidR="00487A39" w:rsidRPr="00532B64">
        <w:t xml:space="preserve">of </w:t>
      </w:r>
      <w:r w:rsidR="008C5850">
        <w:t xml:space="preserve">his or her </w:t>
      </w:r>
      <w:r w:rsidR="00487A39" w:rsidRPr="00532B64">
        <w:t>adjusted</w:t>
      </w:r>
      <w:r w:rsidR="007D6D13" w:rsidRPr="00532B64">
        <w:t xml:space="preserve"> gross income </w:t>
      </w:r>
      <w:r w:rsidR="008C5850">
        <w:t xml:space="preserve">if made </w:t>
      </w:r>
      <w:r w:rsidR="00E70D9A" w:rsidRPr="00532B64">
        <w:rPr>
          <w:iCs/>
        </w:rPr>
        <w:t>to the following types of organizations</w:t>
      </w:r>
      <w:r w:rsidR="002040BD">
        <w:t>: churches,</w:t>
      </w:r>
      <w:r w:rsidR="007D6D13" w:rsidRPr="00532B64">
        <w:t xml:space="preserve"> schools</w:t>
      </w:r>
      <w:r w:rsidR="00844B76" w:rsidRPr="00532B64">
        <w:t>,</w:t>
      </w:r>
      <w:r w:rsidR="007D6D13" w:rsidRPr="00532B64">
        <w:t xml:space="preserve"> hospitals or medical research organizations</w:t>
      </w:r>
      <w:r w:rsidR="00844B76" w:rsidRPr="00532B64">
        <w:t>,</w:t>
      </w:r>
      <w:r w:rsidR="007D6D13" w:rsidRPr="00532B64">
        <w:t xml:space="preserve"> organizations that normally receive a substantial part of their support from federal, state, or local governments or from the general public and that aid any of the above organizations</w:t>
      </w:r>
      <w:r w:rsidR="00844B76" w:rsidRPr="00532B64">
        <w:t>,</w:t>
      </w:r>
      <w:r w:rsidR="007D6D13" w:rsidRPr="00532B64">
        <w:t xml:space="preserve"> </w:t>
      </w:r>
      <w:r w:rsidR="00E70D9A" w:rsidRPr="00532B64">
        <w:t xml:space="preserve">and </w:t>
      </w:r>
      <w:r w:rsidR="007D6D13" w:rsidRPr="00532B64">
        <w:t>federal, state, and local governments. Also included in this list is a limited category of private foundations (private operating foundations and conduit foundations</w:t>
      </w:r>
      <w:r w:rsidR="007D6D13" w:rsidRPr="00532B64">
        <w:rPr>
          <w:vertAlign w:val="superscript"/>
        </w:rPr>
        <w:footnoteReference w:id="2"/>
      </w:r>
      <w:r w:rsidR="007D6D13" w:rsidRPr="00532B64">
        <w:t>) that generally direct their support to public charities.</w:t>
      </w:r>
      <w:r w:rsidR="007D6D13" w:rsidRPr="00532B64">
        <w:rPr>
          <w:vertAlign w:val="superscript"/>
        </w:rPr>
        <w:footnoteReference w:id="3"/>
      </w:r>
      <w:r w:rsidR="007D6D13" w:rsidRPr="00532B64">
        <w:t xml:space="preserve"> The above organizations are often referred to as</w:t>
      </w:r>
      <w:r>
        <w:t xml:space="preserve"> “public charities” or </w:t>
      </w:r>
      <w:r w:rsidR="007D6D13" w:rsidRPr="00532B64">
        <w:t>“50</w:t>
      </w:r>
      <w:r w:rsidR="00E70D9A" w:rsidRPr="00532B64">
        <w:t>-percent</w:t>
      </w:r>
      <w:r w:rsidR="007D6D13" w:rsidRPr="00532B64">
        <w:t>-type charitable organizations.”</w:t>
      </w:r>
    </w:p>
    <w:p w:rsidR="001971FB" w:rsidRPr="001971FB" w:rsidRDefault="001971FB" w:rsidP="001971FB">
      <w:pPr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Thus, a monetary contribution to a public charity is limited to 50</w:t>
      </w:r>
      <w:r w:rsidR="00281FB7">
        <w:rPr>
          <w:sz w:val="24"/>
          <w:szCs w:val="24"/>
        </w:rPr>
        <w:t xml:space="preserve">% </w:t>
      </w:r>
      <w:bookmarkStart w:id="0" w:name="_GoBack"/>
      <w:bookmarkEnd w:id="0"/>
      <w:r w:rsidR="00281FB7">
        <w:rPr>
          <w:sz w:val="24"/>
          <w:szCs w:val="24"/>
        </w:rPr>
        <w:t>of adjusted</w:t>
      </w:r>
      <w:r w:rsidR="008C5850">
        <w:rPr>
          <w:sz w:val="24"/>
          <w:szCs w:val="24"/>
        </w:rPr>
        <w:t xml:space="preserve"> gross income.  The excess amount is carried over for a period of 5 years subject to the same limitations.  Any amount of a charitable contribution not deducted within that time period is lost.</w:t>
      </w:r>
      <w:r w:rsidR="008C5850">
        <w:rPr>
          <w:rStyle w:val="EndnoteReference"/>
          <w:sz w:val="24"/>
          <w:szCs w:val="24"/>
        </w:rPr>
        <w:endnoteReference w:id="1"/>
      </w:r>
    </w:p>
    <w:p w:rsidR="008C5850" w:rsidRDefault="001971FB" w:rsidP="001971FB">
      <w:r>
        <w:t xml:space="preserve">      </w:t>
      </w:r>
    </w:p>
    <w:p w:rsidR="001971FB" w:rsidRPr="001971FB" w:rsidRDefault="008C5850" w:rsidP="008C5850">
      <w:pPr>
        <w:jc w:val="both"/>
        <w:rPr>
          <w:sz w:val="24"/>
          <w:szCs w:val="24"/>
        </w:rPr>
      </w:pPr>
      <w:r>
        <w:t xml:space="preserve">     </w:t>
      </w:r>
      <w:r w:rsidR="001971FB">
        <w:rPr>
          <w:i/>
          <w:sz w:val="24"/>
          <w:szCs w:val="24"/>
        </w:rPr>
        <w:t>Example</w:t>
      </w:r>
      <w:r w:rsidR="001971FB">
        <w:rPr>
          <w:sz w:val="24"/>
          <w:szCs w:val="24"/>
        </w:rPr>
        <w:t>:  In 2014</w:t>
      </w:r>
      <w:r>
        <w:rPr>
          <w:sz w:val="24"/>
          <w:szCs w:val="24"/>
        </w:rPr>
        <w:t>, Asher made a monetary charitable contribution of $30,000 to a public charity.  Asher’s adjusted gross income is $50,000.  Due to the 50% ceiling, Asher’s contribution is limited to $25,000 (50% of $50,000).  The remaining $5,000 is carried over to the next year subject to the same limitations for up to 5 years.</w:t>
      </w:r>
    </w:p>
    <w:p w:rsidR="001971FB" w:rsidRPr="001971FB" w:rsidRDefault="001971FB" w:rsidP="001971FB"/>
    <w:p w:rsidR="000D08D5" w:rsidRDefault="008C5850" w:rsidP="00097038">
      <w:pPr>
        <w:pStyle w:val="PA"/>
      </w:pPr>
      <w:r>
        <w:rPr>
          <w:i/>
          <w:iCs/>
        </w:rPr>
        <w:t>30% ceiling</w:t>
      </w:r>
      <w:r w:rsidR="000D08D5">
        <w:t xml:space="preserve">. For a charitable contribution of money to a private foundation, the amount of the contribution is limited to 30% of the taxpayer’s adjusted gross income.  </w:t>
      </w:r>
      <w:r w:rsidR="00D57C0A">
        <w:t xml:space="preserve">See Q 8525 for the definition of a private foundation.  </w:t>
      </w:r>
    </w:p>
    <w:p w:rsidR="000D08D5" w:rsidRDefault="000D08D5" w:rsidP="000D08D5">
      <w:pPr>
        <w:pStyle w:val="PA"/>
        <w:rPr>
          <w:b/>
          <w:sz w:val="28"/>
          <w:szCs w:val="28"/>
        </w:rPr>
      </w:pPr>
      <w:r w:rsidRPr="00F90A0E">
        <w:rPr>
          <w:b/>
          <w:sz w:val="28"/>
          <w:szCs w:val="28"/>
        </w:rPr>
        <w:t>8523.</w:t>
      </w:r>
      <w:r>
        <w:rPr>
          <w:b/>
          <w:sz w:val="28"/>
          <w:szCs w:val="28"/>
        </w:rPr>
        <w:t>03</w:t>
      </w:r>
      <w:r w:rsidRPr="00F90A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What are the rules to determine the </w:t>
      </w:r>
      <w:r w:rsidRPr="00F90A0E">
        <w:rPr>
          <w:b/>
          <w:sz w:val="28"/>
          <w:szCs w:val="28"/>
        </w:rPr>
        <w:t xml:space="preserve">income percentage </w:t>
      </w:r>
      <w:r>
        <w:rPr>
          <w:b/>
          <w:sz w:val="28"/>
          <w:szCs w:val="28"/>
        </w:rPr>
        <w:t>ceilings for monetary charitable contributions to public charities and private foundations in the same tax year?</w:t>
      </w:r>
    </w:p>
    <w:p w:rsidR="000D08D5" w:rsidRDefault="009F099C" w:rsidP="00FF40B4">
      <w:pPr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The com</w:t>
      </w:r>
      <w:r w:rsidR="00FF40B4">
        <w:rPr>
          <w:sz w:val="24"/>
          <w:szCs w:val="24"/>
        </w:rPr>
        <w:t>bine</w:t>
      </w:r>
      <w:r w:rsidR="004A0722">
        <w:rPr>
          <w:sz w:val="24"/>
          <w:szCs w:val="24"/>
        </w:rPr>
        <w:t>d</w:t>
      </w:r>
      <w:r w:rsidR="00FF40B4">
        <w:rPr>
          <w:sz w:val="24"/>
          <w:szCs w:val="24"/>
        </w:rPr>
        <w:t xml:space="preserve"> monetary contributions to public charities and private foundations can never be more than 50% of adjusted gross income.  Within the 50% ceiling the deductible charitable contribution to a private foundation cannot be more than 30%.  The application of this rule </w:t>
      </w:r>
      <w:r w:rsidR="00DE3449">
        <w:rPr>
          <w:sz w:val="24"/>
          <w:szCs w:val="24"/>
        </w:rPr>
        <w:t xml:space="preserve">by the following </w:t>
      </w:r>
      <w:r>
        <w:rPr>
          <w:sz w:val="24"/>
          <w:szCs w:val="24"/>
        </w:rPr>
        <w:t>example:</w:t>
      </w:r>
    </w:p>
    <w:p w:rsidR="009F099C" w:rsidRDefault="009F099C" w:rsidP="000D08D5">
      <w:pPr>
        <w:rPr>
          <w:sz w:val="24"/>
          <w:szCs w:val="24"/>
        </w:rPr>
      </w:pPr>
    </w:p>
    <w:p w:rsidR="009F099C" w:rsidRPr="009F099C" w:rsidRDefault="009F099C" w:rsidP="000D08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Example</w:t>
      </w:r>
      <w:r>
        <w:rPr>
          <w:sz w:val="24"/>
          <w:szCs w:val="24"/>
        </w:rPr>
        <w:t>:  In 2014, Asher contributes $70,000 to a public charity and $50,000 to a private foundation.  His adjusted gross income is $180,000.</w:t>
      </w:r>
    </w:p>
    <w:p w:rsidR="009F099C" w:rsidRDefault="009F099C" w:rsidP="000D08D5">
      <w:pPr>
        <w:rPr>
          <w:sz w:val="24"/>
          <w:szCs w:val="24"/>
        </w:rPr>
      </w:pPr>
    </w:p>
    <w:p w:rsidR="009F099C" w:rsidRDefault="009F099C" w:rsidP="000D08D5">
      <w:pPr>
        <w:rPr>
          <w:sz w:val="24"/>
          <w:szCs w:val="24"/>
        </w:rPr>
      </w:pPr>
      <w:r>
        <w:rPr>
          <w:sz w:val="24"/>
          <w:szCs w:val="24"/>
        </w:rPr>
        <w:tab/>
        <w:t>Step 1 – Compute the limitation the charitable deduct</w:t>
      </w:r>
      <w:r w:rsidR="00FF40B4">
        <w:rPr>
          <w:sz w:val="24"/>
          <w:szCs w:val="24"/>
        </w:rPr>
        <w:t>ion to</w:t>
      </w:r>
      <w:r>
        <w:rPr>
          <w:sz w:val="24"/>
          <w:szCs w:val="24"/>
        </w:rPr>
        <w:t xml:space="preserve"> the public charity.</w:t>
      </w:r>
    </w:p>
    <w:p w:rsidR="009F099C" w:rsidRDefault="009F099C" w:rsidP="000D08D5">
      <w:pPr>
        <w:rPr>
          <w:sz w:val="24"/>
          <w:szCs w:val="24"/>
        </w:rPr>
      </w:pPr>
    </w:p>
    <w:p w:rsidR="009F099C" w:rsidRDefault="009F099C" w:rsidP="009F0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If the charitable contribution to the public charity was equal or greater than 50% of adjusted gross income, this would be the end of the computation as the amount of the charitable contribution to the public charity in excess of 50% of adjusted gross income plus the full amount of the charitable contribution to the private foundation would not be deductible.  Instead, those amount</w:t>
      </w:r>
      <w:r w:rsidR="004A0722">
        <w:rPr>
          <w:sz w:val="24"/>
          <w:szCs w:val="24"/>
        </w:rPr>
        <w:t>s</w:t>
      </w:r>
      <w:r>
        <w:rPr>
          <w:sz w:val="24"/>
          <w:szCs w:val="24"/>
        </w:rPr>
        <w:t xml:space="preserve"> would be carried forward into subsequent tax years.</w:t>
      </w:r>
    </w:p>
    <w:p w:rsidR="009F099C" w:rsidRDefault="009F099C" w:rsidP="009F099C">
      <w:pPr>
        <w:jc w:val="both"/>
        <w:rPr>
          <w:sz w:val="24"/>
          <w:szCs w:val="24"/>
        </w:rPr>
      </w:pPr>
    </w:p>
    <w:p w:rsidR="009F099C" w:rsidRDefault="009F099C" w:rsidP="009F0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 this case, Asher’s $70,000 charitable contribution to the public charity is less than </w:t>
      </w:r>
      <w:r w:rsidR="00FF40B4">
        <w:rPr>
          <w:sz w:val="24"/>
          <w:szCs w:val="24"/>
        </w:rPr>
        <w:t xml:space="preserve">$90,000, or </w:t>
      </w:r>
      <w:r>
        <w:rPr>
          <w:sz w:val="24"/>
          <w:szCs w:val="24"/>
        </w:rPr>
        <w:t>50% of his $180,000 of adjusted gross income.  Thus, the entire $70,000 charitable contribution is deductible.</w:t>
      </w:r>
    </w:p>
    <w:p w:rsidR="009F099C" w:rsidRDefault="009F099C" w:rsidP="009F099C">
      <w:pPr>
        <w:jc w:val="both"/>
        <w:rPr>
          <w:sz w:val="24"/>
          <w:szCs w:val="24"/>
        </w:rPr>
      </w:pPr>
    </w:p>
    <w:p w:rsidR="00FF40B4" w:rsidRDefault="009F099C" w:rsidP="009F0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Step 2 – </w:t>
      </w:r>
      <w:r w:rsidR="00FF40B4">
        <w:rPr>
          <w:sz w:val="24"/>
          <w:szCs w:val="24"/>
        </w:rPr>
        <w:t>Compute the charitable contribution deduction to the private foundation.</w:t>
      </w:r>
    </w:p>
    <w:p w:rsidR="00FF40B4" w:rsidRDefault="00FF40B4" w:rsidP="009F099C">
      <w:pPr>
        <w:jc w:val="both"/>
        <w:rPr>
          <w:sz w:val="24"/>
          <w:szCs w:val="24"/>
        </w:rPr>
      </w:pPr>
    </w:p>
    <w:p w:rsidR="00DE3449" w:rsidRDefault="00FF40B4" w:rsidP="009F0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3449">
        <w:rPr>
          <w:sz w:val="24"/>
          <w:szCs w:val="24"/>
        </w:rPr>
        <w:t>Since the maximum amount deductible is 50% of adjusted gross income, after the Step 1 public charity deduction of $70,000 there remains only $20,000 of potentially deductible charitable contributions to the private foundation.  So in computing how much of Asher’s $50,000 contribution to a private foundation is deductible, it can be no greater than the lesser of $20,000 or 30% of his adjusted gross income of $54,000.  Since $20,000 is the lesser amount, $20,000 of Asher’s $50,000 private foundation charitable contribution is deductible.  The remaining $30,000 is not currently deductible and must be carried over into the next tax year subject to the same rules for up to 5 subsequent tax years.</w:t>
      </w:r>
      <w:r w:rsidR="00DE3449">
        <w:rPr>
          <w:rStyle w:val="EndnoteReference"/>
          <w:sz w:val="24"/>
          <w:szCs w:val="24"/>
        </w:rPr>
        <w:endnoteReference w:id="2"/>
      </w:r>
    </w:p>
    <w:p w:rsidR="00DE3449" w:rsidRDefault="00DE3449" w:rsidP="009F099C">
      <w:pPr>
        <w:jc w:val="both"/>
        <w:rPr>
          <w:sz w:val="24"/>
          <w:szCs w:val="24"/>
        </w:rPr>
      </w:pP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endnotePr>
        <w:numFmt w:val="decimal"/>
        <w:numStart w:val="3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03" w:rsidRDefault="00491403" w:rsidP="006F074C">
      <w:r>
        <w:separator/>
      </w:r>
    </w:p>
  </w:endnote>
  <w:endnote w:type="continuationSeparator" w:id="0">
    <w:p w:rsidR="00491403" w:rsidRDefault="00491403" w:rsidP="006F074C">
      <w:r>
        <w:continuationSeparator/>
      </w:r>
    </w:p>
  </w:endnote>
  <w:endnote w:id="1">
    <w:p w:rsidR="008C5850" w:rsidRPr="008C5850" w:rsidRDefault="008C5850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170(d</w:t>
      </w:r>
      <w:proofErr w:type="gramEnd"/>
      <w:r>
        <w:rPr>
          <w:sz w:val="16"/>
          <w:szCs w:val="16"/>
        </w:rPr>
        <w:t>).</w:t>
      </w:r>
    </w:p>
  </w:endnote>
  <w:endnote w:id="2">
    <w:p w:rsidR="00DE3449" w:rsidRPr="00DE3449" w:rsidRDefault="00DE3449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170(b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1)(B)(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03" w:rsidRDefault="00491403" w:rsidP="006F074C">
      <w:r>
        <w:separator/>
      </w:r>
    </w:p>
  </w:footnote>
  <w:footnote w:type="continuationSeparator" w:id="0">
    <w:p w:rsidR="00491403" w:rsidRDefault="00491403" w:rsidP="006F074C">
      <w:r>
        <w:continuationSeparator/>
      </w:r>
    </w:p>
  </w:footnote>
  <w:footnote w:id="1">
    <w:p w:rsidR="00697BD7" w:rsidRPr="00DF66AC" w:rsidRDefault="00697BD7" w:rsidP="00697BD7">
      <w:pPr>
        <w:pStyle w:val="PQ"/>
      </w:pPr>
      <w:r w:rsidRPr="00DF66AC">
        <w:footnoteRef/>
      </w:r>
      <w:r>
        <w:t>.</w:t>
      </w:r>
      <w:r>
        <w:tab/>
      </w:r>
      <w:r w:rsidRPr="00DF66AC">
        <w:t>See Treas. Reg. §1.170A-8(a</w:t>
      </w:r>
      <w:proofErr w:type="gramStart"/>
      <w:r w:rsidRPr="00DF66AC">
        <w:t>)(</w:t>
      </w:r>
      <w:proofErr w:type="gramEnd"/>
      <w:r w:rsidRPr="00DF66AC">
        <w:t>2).</w:t>
      </w:r>
    </w:p>
  </w:footnote>
  <w:footnote w:id="2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See IRC Sec. 170(b</w:t>
      </w:r>
      <w:proofErr w:type="gramStart"/>
      <w:r w:rsidR="00FE5D9D" w:rsidRPr="00DF66AC">
        <w:t>)(</w:t>
      </w:r>
      <w:proofErr w:type="gramEnd"/>
      <w:r w:rsidR="00FE5D9D" w:rsidRPr="00DF66AC">
        <w:t>1)(E).</w:t>
      </w:r>
    </w:p>
  </w:footnote>
  <w:footnote w:id="3">
    <w:p w:rsidR="00D73FC0" w:rsidRPr="00DF66AC" w:rsidRDefault="00D73FC0" w:rsidP="00FE5D9D">
      <w:pPr>
        <w:pStyle w:val="PQ"/>
      </w:pPr>
      <w:r w:rsidRPr="00DF66AC">
        <w:footnoteRef/>
      </w:r>
      <w:r w:rsidR="00F16B3F">
        <w:t>.</w:t>
      </w:r>
      <w:r w:rsidR="00F16B3F">
        <w:tab/>
      </w:r>
      <w:r w:rsidR="00FE5D9D" w:rsidRPr="00DF66AC">
        <w:t>IRC Sec. 170(b</w:t>
      </w:r>
      <w:proofErr w:type="gramStart"/>
      <w:r w:rsidR="00FE5D9D" w:rsidRPr="00DF66AC">
        <w:t>)(</w:t>
      </w:r>
      <w:proofErr w:type="gramEnd"/>
      <w:r w:rsidR="00FE5D9D" w:rsidRPr="00DF66AC">
        <w:t>1)(A).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018A"/>
    <w:rsid w:val="00083567"/>
    <w:rsid w:val="000925AB"/>
    <w:rsid w:val="00097038"/>
    <w:rsid w:val="000A2B66"/>
    <w:rsid w:val="000A6CAB"/>
    <w:rsid w:val="000B6372"/>
    <w:rsid w:val="000D08D5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1FB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773F0"/>
    <w:rsid w:val="00281FB7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9743E"/>
    <w:rsid w:val="003B1DF7"/>
    <w:rsid w:val="003B450F"/>
    <w:rsid w:val="003B65D8"/>
    <w:rsid w:val="003C1548"/>
    <w:rsid w:val="003E73D1"/>
    <w:rsid w:val="003F00D7"/>
    <w:rsid w:val="003F05E5"/>
    <w:rsid w:val="00407D8B"/>
    <w:rsid w:val="004167F4"/>
    <w:rsid w:val="00427B74"/>
    <w:rsid w:val="00435B94"/>
    <w:rsid w:val="00456493"/>
    <w:rsid w:val="00474C65"/>
    <w:rsid w:val="00484642"/>
    <w:rsid w:val="00487A39"/>
    <w:rsid w:val="00491403"/>
    <w:rsid w:val="004A0722"/>
    <w:rsid w:val="004C5F26"/>
    <w:rsid w:val="004E7836"/>
    <w:rsid w:val="00501B90"/>
    <w:rsid w:val="00511E10"/>
    <w:rsid w:val="00521FCB"/>
    <w:rsid w:val="005223B9"/>
    <w:rsid w:val="00532B64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64BF0"/>
    <w:rsid w:val="00667AE6"/>
    <w:rsid w:val="0068069B"/>
    <w:rsid w:val="00695FA3"/>
    <w:rsid w:val="00697BD7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407CC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13CDE"/>
    <w:rsid w:val="008316E9"/>
    <w:rsid w:val="00835C56"/>
    <w:rsid w:val="00844B76"/>
    <w:rsid w:val="008864E6"/>
    <w:rsid w:val="008A42E4"/>
    <w:rsid w:val="008A56CD"/>
    <w:rsid w:val="008B16D5"/>
    <w:rsid w:val="008C2D90"/>
    <w:rsid w:val="008C5850"/>
    <w:rsid w:val="008D4B69"/>
    <w:rsid w:val="008E11EC"/>
    <w:rsid w:val="008E4CF6"/>
    <w:rsid w:val="008F4E3A"/>
    <w:rsid w:val="008F7667"/>
    <w:rsid w:val="009003A2"/>
    <w:rsid w:val="00920178"/>
    <w:rsid w:val="00944E4E"/>
    <w:rsid w:val="0095488D"/>
    <w:rsid w:val="00957231"/>
    <w:rsid w:val="009626DD"/>
    <w:rsid w:val="0097483E"/>
    <w:rsid w:val="00983A2F"/>
    <w:rsid w:val="009938E4"/>
    <w:rsid w:val="009C73DD"/>
    <w:rsid w:val="009F099C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B15D08"/>
    <w:rsid w:val="00B20CBB"/>
    <w:rsid w:val="00B43EBC"/>
    <w:rsid w:val="00B47F6C"/>
    <w:rsid w:val="00B97105"/>
    <w:rsid w:val="00BA22F5"/>
    <w:rsid w:val="00BC19F7"/>
    <w:rsid w:val="00BC5792"/>
    <w:rsid w:val="00BC6F51"/>
    <w:rsid w:val="00BE317F"/>
    <w:rsid w:val="00BF4BC0"/>
    <w:rsid w:val="00C157A9"/>
    <w:rsid w:val="00C15AF0"/>
    <w:rsid w:val="00C1615A"/>
    <w:rsid w:val="00C3032D"/>
    <w:rsid w:val="00C360BE"/>
    <w:rsid w:val="00C52725"/>
    <w:rsid w:val="00C5496F"/>
    <w:rsid w:val="00C64FEC"/>
    <w:rsid w:val="00C7768E"/>
    <w:rsid w:val="00C92346"/>
    <w:rsid w:val="00CA03CA"/>
    <w:rsid w:val="00CB0AF1"/>
    <w:rsid w:val="00CD22F0"/>
    <w:rsid w:val="00CF5092"/>
    <w:rsid w:val="00D0195D"/>
    <w:rsid w:val="00D418E3"/>
    <w:rsid w:val="00D51611"/>
    <w:rsid w:val="00D57C0A"/>
    <w:rsid w:val="00D70E77"/>
    <w:rsid w:val="00D72E05"/>
    <w:rsid w:val="00D73FC0"/>
    <w:rsid w:val="00D81626"/>
    <w:rsid w:val="00DC02E2"/>
    <w:rsid w:val="00DC0B50"/>
    <w:rsid w:val="00DD22D9"/>
    <w:rsid w:val="00DD68C3"/>
    <w:rsid w:val="00DE3449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18CC"/>
    <w:rsid w:val="00F16B3F"/>
    <w:rsid w:val="00F66D50"/>
    <w:rsid w:val="00F90A0E"/>
    <w:rsid w:val="00F96BEC"/>
    <w:rsid w:val="00F9714F"/>
    <w:rsid w:val="00FB397E"/>
    <w:rsid w:val="00FB7360"/>
    <w:rsid w:val="00FC74E6"/>
    <w:rsid w:val="00FD4659"/>
    <w:rsid w:val="00FD7753"/>
    <w:rsid w:val="00FE5D9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9743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9743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9743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9743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9743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9743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39743E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39743E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39743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39743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9743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39743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9743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9743E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39743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39743E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9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7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3974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39743E"/>
    <w:pPr>
      <w:spacing w:before="144"/>
      <w:jc w:val="both"/>
    </w:pPr>
    <w:rPr>
      <w:noProof/>
    </w:rPr>
  </w:style>
  <w:style w:type="paragraph" w:customStyle="1" w:styleId="PD">
    <w:name w:val="PD"/>
    <w:rsid w:val="0039743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9743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9743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9743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9743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9743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9743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9743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9743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9743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9743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39743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9743E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9743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9743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9743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9743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9743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9743E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9743E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9743E"/>
    <w:rPr>
      <w:rFonts w:ascii="Perpetua Std" w:hAnsi="Perpetua Std"/>
    </w:rPr>
  </w:style>
  <w:style w:type="paragraph" w:styleId="NoSpacing">
    <w:name w:val="No Spacing"/>
    <w:qFormat/>
    <w:rsid w:val="0039743E"/>
    <w:rPr>
      <w:rFonts w:ascii="Perpetua" w:hAnsi="Perpetua"/>
    </w:rPr>
  </w:style>
  <w:style w:type="paragraph" w:customStyle="1" w:styleId="PCA">
    <w:name w:val="PCA"/>
    <w:rsid w:val="0039743E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9743E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9743E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8C5850"/>
  </w:style>
  <w:style w:type="character" w:customStyle="1" w:styleId="EndnoteTextChar">
    <w:name w:val="Endnote Text Char"/>
    <w:basedOn w:val="DefaultParagraphFont"/>
    <w:link w:val="EndnoteText"/>
    <w:semiHidden/>
    <w:rsid w:val="008C5850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8C5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9743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9743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9743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9743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9743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9743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39743E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39743E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39743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39743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9743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39743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9743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9743E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39743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39743E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9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7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3974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39743E"/>
    <w:pPr>
      <w:spacing w:before="144"/>
      <w:jc w:val="both"/>
    </w:pPr>
    <w:rPr>
      <w:noProof/>
    </w:rPr>
  </w:style>
  <w:style w:type="paragraph" w:customStyle="1" w:styleId="PD">
    <w:name w:val="PD"/>
    <w:rsid w:val="0039743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9743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9743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9743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9743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9743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9743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9743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9743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9743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9743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39743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9743E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9743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9743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9743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9743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9743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9743E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9743E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9743E"/>
    <w:rPr>
      <w:rFonts w:ascii="Perpetua Std" w:hAnsi="Perpetua Std"/>
    </w:rPr>
  </w:style>
  <w:style w:type="paragraph" w:styleId="NoSpacing">
    <w:name w:val="No Spacing"/>
    <w:qFormat/>
    <w:rsid w:val="0039743E"/>
    <w:rPr>
      <w:rFonts w:ascii="Perpetua" w:hAnsi="Perpetua"/>
    </w:rPr>
  </w:style>
  <w:style w:type="paragraph" w:customStyle="1" w:styleId="PCA">
    <w:name w:val="PCA"/>
    <w:rsid w:val="0039743E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9743E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9743E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8C5850"/>
  </w:style>
  <w:style w:type="character" w:customStyle="1" w:styleId="EndnoteTextChar">
    <w:name w:val="Endnote Text Char"/>
    <w:basedOn w:val="DefaultParagraphFont"/>
    <w:link w:val="EndnoteText"/>
    <w:semiHidden/>
    <w:rsid w:val="008C5850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8C5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D445-33F1-48D8-9AE4-A52EAB7F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8523. What are the income percentage limits that restrict the income tax deduction allowable for charitable contributions?</vt:lpstr>
    </vt:vector>
  </TitlesOfParts>
  <Company>Summit Business Media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8523. What are the income percentage limits that restrict the income tax deduction allowable for charitable contributions?</dc:title>
  <dc:creator>Alexis Long</dc:creator>
  <cp:lastModifiedBy>rcline</cp:lastModifiedBy>
  <cp:revision>2</cp:revision>
  <dcterms:created xsi:type="dcterms:W3CDTF">2014-08-20T16:49:00Z</dcterms:created>
  <dcterms:modified xsi:type="dcterms:W3CDTF">2014-08-20T16:49:00Z</dcterms:modified>
</cp:coreProperties>
</file>