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16" w:rsidRDefault="00834616" w:rsidP="005E77DB">
      <w:pPr>
        <w:pStyle w:val="PA"/>
        <w:ind w:firstLine="0"/>
        <w:rPr>
          <w:b/>
        </w:rPr>
      </w:pPr>
      <w:r>
        <w:rPr>
          <w:b/>
        </w:rPr>
        <w:t>8522.01</w:t>
      </w:r>
      <w:proofErr w:type="gramStart"/>
      <w:r>
        <w:rPr>
          <w:b/>
        </w:rPr>
        <w:t>.  Wh</w:t>
      </w:r>
      <w:r w:rsidR="00B679EC">
        <w:rPr>
          <w:b/>
        </w:rPr>
        <w:t>at</w:t>
      </w:r>
      <w:proofErr w:type="gramEnd"/>
      <w:r w:rsidR="00B679EC">
        <w:rPr>
          <w:b/>
        </w:rPr>
        <w:t xml:space="preserve"> types of interest are deductible</w:t>
      </w:r>
      <w:r>
        <w:rPr>
          <w:b/>
        </w:rPr>
        <w:t>?</w:t>
      </w:r>
    </w:p>
    <w:p w:rsidR="00427B74" w:rsidRDefault="00E20C72" w:rsidP="00097038">
      <w:pPr>
        <w:pStyle w:val="PA"/>
      </w:pPr>
      <w:r w:rsidRPr="00532B64">
        <w:t>Whether or not interest is deductible</w:t>
      </w:r>
      <w:r w:rsidR="007D6D13" w:rsidRPr="00532B64">
        <w:t xml:space="preserve"> depends on its classification</w:t>
      </w:r>
      <w:r w:rsidR="000D258D" w:rsidRPr="00532B64">
        <w:t xml:space="preserve"> as one of the following types of interest: (1) investment interest, (2) trade or business interest, (3) qualified residence interest, (4) interest relating to passive activities, (5) interest incurred on extended payment of estate tax, (6) interest on education loans or (7) personal interest.</w:t>
      </w:r>
      <w:r w:rsidR="00427B74" w:rsidRPr="00532B64">
        <w:t xml:space="preserve"> </w:t>
      </w:r>
      <w:r w:rsidR="000D258D" w:rsidRPr="00532B64">
        <w:t xml:space="preserve">The deductibility of these seven types of interest is discussed in detail </w:t>
      </w:r>
      <w:r w:rsidR="00834616">
        <w:t>in Q</w:t>
      </w:r>
      <w:r w:rsidR="00F4415E">
        <w:t xml:space="preserve"> </w:t>
      </w:r>
      <w:r w:rsidR="00834616">
        <w:t>8522.02-Q</w:t>
      </w:r>
      <w:r w:rsidR="00F4415E">
        <w:t xml:space="preserve"> </w:t>
      </w:r>
      <w:r w:rsidR="00834616">
        <w:t>8522.08</w:t>
      </w:r>
      <w:r w:rsidR="000D258D" w:rsidRPr="00532B64">
        <w:t>.</w:t>
      </w:r>
    </w:p>
    <w:p w:rsidR="00B679EC" w:rsidRDefault="00B679EC">
      <w:pPr>
        <w:pStyle w:val="PA"/>
      </w:pPr>
      <w:r w:rsidRPr="00532B64">
        <w:t xml:space="preserve">The proper allocation of interest generally depends on the use to which the loan proceeds are put, except in the case of </w:t>
      </w:r>
      <w:r w:rsidR="00026AE9">
        <w:t xml:space="preserve">certain </w:t>
      </w:r>
      <w:r w:rsidRPr="00532B64">
        <w:t>qualified residence interest. Detailed rules for classifying interest by tracing the use of loan proceeds are contained in temporary regulations.</w:t>
      </w:r>
      <w:r w:rsidRPr="00532B64">
        <w:rPr>
          <w:vertAlign w:val="superscript"/>
        </w:rPr>
        <w:footnoteReference w:id="1"/>
      </w:r>
      <w:r w:rsidRPr="00532B64">
        <w:t xml:space="preserve"> </w:t>
      </w:r>
    </w:p>
    <w:p w:rsidR="00B679EC" w:rsidRPr="00532B64" w:rsidRDefault="00B679EC" w:rsidP="00B679EC">
      <w:pPr>
        <w:pStyle w:val="PA"/>
        <w:suppressAutoHyphens/>
        <w:rPr>
          <w:szCs w:val="24"/>
        </w:rPr>
      </w:pPr>
      <w:r>
        <w:rPr>
          <w:szCs w:val="24"/>
        </w:rPr>
        <w:t xml:space="preserve">In some cases, the Code may specifically disallow the deductibility of interest.  For example, </w:t>
      </w:r>
      <w:r w:rsidRPr="00532B64">
        <w:rPr>
          <w:szCs w:val="24"/>
        </w:rPr>
        <w:t>no deduction is allowed for interest paid on a loan used to buy or carry tax-exempt securities</w:t>
      </w:r>
      <w:r>
        <w:rPr>
          <w:szCs w:val="24"/>
        </w:rPr>
        <w:t>.</w:t>
      </w:r>
      <w:r>
        <w:rPr>
          <w:rStyle w:val="EndnoteReference"/>
          <w:szCs w:val="24"/>
        </w:rPr>
        <w:endnoteReference w:id="1"/>
      </w:r>
      <w:r w:rsidR="00605375">
        <w:rPr>
          <w:szCs w:val="24"/>
        </w:rPr>
        <w:t xml:space="preserve">  The rationale for the disallowance is</w:t>
      </w:r>
      <w:r w:rsidR="00F4415E">
        <w:rPr>
          <w:szCs w:val="24"/>
        </w:rPr>
        <w:t xml:space="preserve"> to</w:t>
      </w:r>
      <w:r w:rsidR="00605375">
        <w:rPr>
          <w:szCs w:val="24"/>
        </w:rPr>
        <w:t xml:space="preserve"> prevent the taxpayer from receiving an unwarranted double tax benefit. </w:t>
      </w:r>
      <w:proofErr w:type="gramStart"/>
      <w:r w:rsidR="00F4415E">
        <w:rPr>
          <w:szCs w:val="24"/>
        </w:rPr>
        <w:t>( f</w:t>
      </w:r>
      <w:r w:rsidR="00605375">
        <w:rPr>
          <w:szCs w:val="24"/>
        </w:rPr>
        <w:t>irst</w:t>
      </w:r>
      <w:proofErr w:type="gramEnd"/>
      <w:r w:rsidR="00605375">
        <w:rPr>
          <w:szCs w:val="24"/>
        </w:rPr>
        <w:t>, the exclusion of the interest from gross income; and, second, a deduction for the interest on a loan used to purchase the underlying tax-exempt security</w:t>
      </w:r>
      <w:r w:rsidR="00F4415E">
        <w:rPr>
          <w:szCs w:val="24"/>
        </w:rPr>
        <w:t>)</w:t>
      </w:r>
      <w:r w:rsidR="00605375">
        <w:rPr>
          <w:szCs w:val="24"/>
        </w:rPr>
        <w:t>.</w:t>
      </w:r>
      <w:r w:rsidR="00F4415E">
        <w:rPr>
          <w:szCs w:val="24"/>
        </w:rPr>
        <w:t xml:space="preserve">  </w:t>
      </w:r>
    </w:p>
    <w:p w:rsidR="00834616" w:rsidRDefault="000D258D" w:rsidP="00097038">
      <w:pPr>
        <w:pStyle w:val="PA"/>
      </w:pPr>
      <w:r w:rsidRPr="00532B64">
        <w:t>Interest</w:t>
      </w:r>
      <w:r w:rsidR="007D6D13" w:rsidRPr="00532B64">
        <w:t xml:space="preserve"> expense that is deductible under the rules </w:t>
      </w:r>
      <w:r w:rsidR="00834616">
        <w:t>outlined in Q8522.02-Q8522.08</w:t>
      </w:r>
      <w:r w:rsidR="00834616" w:rsidRPr="00532B64">
        <w:t xml:space="preserve"> </w:t>
      </w:r>
      <w:r w:rsidR="007D6D13" w:rsidRPr="00532B64">
        <w:t xml:space="preserve">may </w:t>
      </w:r>
      <w:r w:rsidRPr="00532B64">
        <w:t xml:space="preserve">also </w:t>
      </w:r>
      <w:r w:rsidR="007D6D13" w:rsidRPr="00532B64">
        <w:t>be subject to the additional limitation</w:t>
      </w:r>
      <w:r w:rsidRPr="00532B64">
        <w:t>s</w:t>
      </w:r>
      <w:r w:rsidR="007D6D13" w:rsidRPr="00532B64">
        <w:t xml:space="preserve"> on itemized deductions (unless it is investment interest, which is not subject to that provision). </w:t>
      </w:r>
      <w:r w:rsidRPr="00532B64">
        <w:t xml:space="preserve">See </w:t>
      </w:r>
      <w:r w:rsidR="000465CA" w:rsidRPr="00532B64">
        <w:t>Q 85</w:t>
      </w:r>
      <w:r w:rsidR="005B53F2" w:rsidRPr="00532B64">
        <w:t>20</w:t>
      </w:r>
      <w:r w:rsidRPr="00532B64">
        <w:t xml:space="preserve"> for a discussion of the limits on itemized deductions.</w:t>
      </w:r>
      <w:r w:rsidR="00427B74" w:rsidRPr="00532B64">
        <w:t xml:space="preserve"> </w:t>
      </w:r>
    </w:p>
    <w:p w:rsidR="00834616" w:rsidRPr="00834616" w:rsidRDefault="00834616" w:rsidP="005E77DB"/>
    <w:p w:rsidR="00427B74" w:rsidRPr="005E77DB" w:rsidRDefault="00834616" w:rsidP="005E77DB">
      <w:pPr>
        <w:pStyle w:val="PA"/>
        <w:ind w:firstLine="0"/>
        <w:rPr>
          <w:b/>
        </w:rPr>
      </w:pPr>
      <w:r>
        <w:rPr>
          <w:b/>
        </w:rPr>
        <w:t>8522.02</w:t>
      </w:r>
      <w:proofErr w:type="gramStart"/>
      <w:r>
        <w:rPr>
          <w:b/>
        </w:rPr>
        <w:t>.  Wh</w:t>
      </w:r>
      <w:r w:rsidR="00A732CB">
        <w:rPr>
          <w:b/>
        </w:rPr>
        <w:t>at</w:t>
      </w:r>
      <w:proofErr w:type="gramEnd"/>
      <w:r w:rsidR="00A732CB">
        <w:rPr>
          <w:b/>
        </w:rPr>
        <w:t xml:space="preserve"> are</w:t>
      </w:r>
      <w:r w:rsidR="00F4415E">
        <w:rPr>
          <w:b/>
        </w:rPr>
        <w:t xml:space="preserve"> the</w:t>
      </w:r>
      <w:r w:rsidR="00A732CB">
        <w:rPr>
          <w:b/>
        </w:rPr>
        <w:t xml:space="preserve"> rules for the deductibility of investment interest by </w:t>
      </w:r>
      <w:r>
        <w:rPr>
          <w:b/>
        </w:rPr>
        <w:t>an individual taxpayer?</w:t>
      </w:r>
    </w:p>
    <w:p w:rsidR="00605375" w:rsidRDefault="00834616" w:rsidP="005E77DB">
      <w:pPr>
        <w:pStyle w:val="PC"/>
        <w:ind w:left="0" w:firstLine="0"/>
      </w:pPr>
      <w:r>
        <w:tab/>
      </w:r>
      <w:r w:rsidR="000D258D" w:rsidRPr="00532B64">
        <w:t>Any</w:t>
      </w:r>
      <w:r w:rsidR="007D6D13" w:rsidRPr="00532B64">
        <w:t xml:space="preserve"> interest expense on indebtedness properly allocable to property held for investment</w:t>
      </w:r>
      <w:r w:rsidR="000D258D" w:rsidRPr="00532B64">
        <w:t xml:space="preserve"> is classified as investment interest</w:t>
      </w:r>
      <w:r w:rsidR="007D6D13" w:rsidRPr="00532B64">
        <w:t>.</w:t>
      </w:r>
      <w:r w:rsidR="007D6D13" w:rsidRPr="00532B64">
        <w:rPr>
          <w:vertAlign w:val="superscript"/>
        </w:rPr>
        <w:footnoteReference w:id="2"/>
      </w:r>
      <w:r w:rsidR="007D6D13" w:rsidRPr="00532B64">
        <w:t xml:space="preserve"> </w:t>
      </w:r>
      <w:r w:rsidR="00605375">
        <w:t xml:space="preserve">  However, there is a limitation as investment is deductible to the extent of net investment income.  Any excess is carried forward to subsequent tax years subject to the same terms and conditions.</w:t>
      </w:r>
      <w:r w:rsidR="00A732CB">
        <w:t xml:space="preserve">  Net investment income is investment income less investment expenses (other than interest).  Investment income is income from property held for investment such as interest, dividends, annuity income and royalties.</w:t>
      </w:r>
      <w:r w:rsidR="00A732CB">
        <w:rPr>
          <w:rStyle w:val="EndnoteReference"/>
        </w:rPr>
        <w:endnoteReference w:id="2"/>
      </w:r>
    </w:p>
    <w:p w:rsidR="00A732CB" w:rsidRPr="00A732CB" w:rsidRDefault="00A732CB" w:rsidP="005E77DB">
      <w:pPr>
        <w:pStyle w:val="PC"/>
        <w:ind w:left="0" w:firstLine="0"/>
      </w:pPr>
      <w:r>
        <w:tab/>
      </w:r>
      <w:r>
        <w:rPr>
          <w:i/>
        </w:rPr>
        <w:t xml:space="preserve">Example:  </w:t>
      </w:r>
      <w:r>
        <w:t>In 2014, Asher has net investment income of $7,500 and investment in</w:t>
      </w:r>
      <w:r w:rsidR="00026AE9">
        <w:t>terest</w:t>
      </w:r>
      <w:r>
        <w:t xml:space="preserve"> of $10,000.  Because the deductibility of investment interest is limited to net investment income, only $7,500 of the $10,000 of investment interest is deductible.  The excess</w:t>
      </w:r>
      <w:r w:rsidR="00026AE9">
        <w:t xml:space="preserve"> disallowed investment interest of </w:t>
      </w:r>
      <w:r>
        <w:t>$2,500 is carried forward to subsequent years.</w:t>
      </w:r>
      <w:r>
        <w:rPr>
          <w:rStyle w:val="EndnoteReference"/>
        </w:rPr>
        <w:endnoteReference w:id="3"/>
      </w:r>
    </w:p>
    <w:p w:rsidR="00A732CB" w:rsidRDefault="00A732CB" w:rsidP="005E77DB">
      <w:pPr>
        <w:pStyle w:val="PC"/>
        <w:ind w:left="0" w:firstLine="0"/>
      </w:pPr>
      <w:r>
        <w:lastRenderedPageBreak/>
        <w:tab/>
        <w:t xml:space="preserve">Excluded from the definition of investment income is net long-term capital gain and “qualified dividends.”  These types of income are taxed at a maximum rate of 15% or 20% depending on the taxpayer’s overall income (i.e., the 20% rate applies to high income taxpayers).   On the other hand, other types of investment income such as non-qualified dividends, interest income, etc. are taxed </w:t>
      </w:r>
      <w:proofErr w:type="spellStart"/>
      <w:r>
        <w:t>at</w:t>
      </w:r>
      <w:proofErr w:type="spellEnd"/>
      <w:r>
        <w:t xml:space="preserve"> ordinary income rates (up to 39.6%).  However, if a taxpayer elects to treat long-term capital gains or qualified dividends as ordinary income (waives the application of the 15% and 20% maximum rates), that income does count as investment income.</w:t>
      </w:r>
    </w:p>
    <w:p w:rsidR="00A732CB" w:rsidRDefault="00A732CB" w:rsidP="005E77DB">
      <w:pPr>
        <w:pStyle w:val="PC"/>
        <w:ind w:left="0" w:firstLine="0"/>
      </w:pPr>
      <w:r>
        <w:tab/>
      </w:r>
      <w:r>
        <w:rPr>
          <w:i/>
        </w:rPr>
        <w:t>Example</w:t>
      </w:r>
      <w:r>
        <w:t>:  Same as the above example, except that Asher has a combined $2,500 of qualified dividends and net long-term capital gain.  If Asher makes an election waiving the 15% and 20% maximum rates with respect to that income</w:t>
      </w:r>
      <w:r w:rsidR="00026AE9">
        <w:t xml:space="preserve"> (meaning it could be taxed to up </w:t>
      </w:r>
      <w:proofErr w:type="spellStart"/>
      <w:r w:rsidR="00026AE9">
        <w:t>toe</w:t>
      </w:r>
      <w:proofErr w:type="spellEnd"/>
      <w:r w:rsidR="00026AE9">
        <w:t xml:space="preserve"> 39.6%)</w:t>
      </w:r>
      <w:r>
        <w:t>, he may include it as investment income.  If he does, Asher can deduct the full $10,000 o</w:t>
      </w:r>
      <w:r w:rsidR="009D4231">
        <w:t>f investment interest because</w:t>
      </w:r>
      <w:r>
        <w:t xml:space="preserve"> adding the $2,500 of qualified dividends and net long-term capital gain to the $7,500 of other net investment income, there would be a total offset.</w:t>
      </w:r>
      <w:r>
        <w:rPr>
          <w:rStyle w:val="EndnoteReference"/>
        </w:rPr>
        <w:endnoteReference w:id="4"/>
      </w:r>
      <w:r w:rsidR="00026AE9">
        <w:t xml:space="preserve">  </w:t>
      </w:r>
    </w:p>
    <w:p w:rsidR="00834616" w:rsidRDefault="00834616" w:rsidP="005E77DB">
      <w:pPr>
        <w:pStyle w:val="PA"/>
        <w:ind w:firstLine="0"/>
        <w:rPr>
          <w:b/>
        </w:rPr>
      </w:pPr>
      <w:r>
        <w:rPr>
          <w:b/>
        </w:rPr>
        <w:t>8522.03</w:t>
      </w:r>
      <w:proofErr w:type="gramStart"/>
      <w:r>
        <w:rPr>
          <w:b/>
        </w:rPr>
        <w:t>.  Wh</w:t>
      </w:r>
      <w:r w:rsidR="00A732CB">
        <w:rPr>
          <w:b/>
        </w:rPr>
        <w:t>at</w:t>
      </w:r>
      <w:proofErr w:type="gramEnd"/>
      <w:r w:rsidR="00A732CB">
        <w:rPr>
          <w:b/>
        </w:rPr>
        <w:t xml:space="preserve"> is deductible </w:t>
      </w:r>
      <w:r>
        <w:rPr>
          <w:b/>
        </w:rPr>
        <w:t>trade or business interest?</w:t>
      </w:r>
    </w:p>
    <w:p w:rsidR="00427B74" w:rsidRPr="00532B64" w:rsidRDefault="00834616" w:rsidP="005E77DB">
      <w:pPr>
        <w:pStyle w:val="PC"/>
        <w:ind w:left="0" w:firstLine="0"/>
        <w:rPr>
          <w:szCs w:val="24"/>
        </w:rPr>
      </w:pPr>
      <w:r>
        <w:rPr>
          <w:szCs w:val="24"/>
        </w:rPr>
        <w:tab/>
        <w:t>Trade or business interest, as the name suggests,</w:t>
      </w:r>
      <w:r w:rsidR="007D6D13" w:rsidRPr="00532B64">
        <w:rPr>
          <w:szCs w:val="24"/>
        </w:rPr>
        <w:t xml:space="preserve"> includes any interest incurred in the conduct of a trade or business. </w:t>
      </w:r>
      <w:r w:rsidR="00A732CB">
        <w:rPr>
          <w:szCs w:val="24"/>
        </w:rPr>
        <w:t>So for example, if a taxpayer borrows funds for working capital in a trade or business, the interest payments would be deductible.</w:t>
      </w:r>
    </w:p>
    <w:p w:rsidR="00834616" w:rsidRDefault="00834616" w:rsidP="005E77DB">
      <w:pPr>
        <w:pStyle w:val="PA"/>
        <w:ind w:firstLine="0"/>
        <w:rPr>
          <w:b/>
        </w:rPr>
      </w:pPr>
      <w:r>
        <w:rPr>
          <w:b/>
        </w:rPr>
        <w:t>8522.04. Wh</w:t>
      </w:r>
      <w:r w:rsidR="00A732CB">
        <w:rPr>
          <w:b/>
        </w:rPr>
        <w:t xml:space="preserve">at is deductible </w:t>
      </w:r>
      <w:r>
        <w:rPr>
          <w:b/>
        </w:rPr>
        <w:t>qualified residence interest?</w:t>
      </w:r>
    </w:p>
    <w:p w:rsidR="00A732CB" w:rsidRDefault="00834616" w:rsidP="005E77DB">
      <w:pPr>
        <w:pStyle w:val="PC"/>
        <w:ind w:left="0" w:firstLine="0"/>
        <w:rPr>
          <w:szCs w:val="24"/>
        </w:rPr>
      </w:pPr>
      <w:r>
        <w:rPr>
          <w:szCs w:val="24"/>
        </w:rPr>
        <w:tab/>
      </w:r>
      <w:r w:rsidR="007D6D13" w:rsidRPr="00532B64">
        <w:rPr>
          <w:szCs w:val="24"/>
        </w:rPr>
        <w:t xml:space="preserve">Qualified residence interest is interest paid or accrued during the taxable year on debt that is secured by the taxpayer’s qualified residence and that is either (a) “acquisition indebtedness” (that is, debt incurred to acquire, construct or substantially improve the qualified residence, or any refinancing of such debt), or (b) “home equity indebtedness” (any other indebtedness secured by the qualified residence). </w:t>
      </w:r>
    </w:p>
    <w:p w:rsidR="00A732CB" w:rsidRDefault="00A732CB" w:rsidP="00A732CB">
      <w:pPr>
        <w:pStyle w:val="PD"/>
        <w:ind w:left="0" w:firstLine="360"/>
        <w:rPr>
          <w:szCs w:val="24"/>
        </w:rPr>
      </w:pPr>
      <w:r w:rsidRPr="00532B64">
        <w:t xml:space="preserve">A “qualified residence” is the taxpayer’s principal residence and one other residence that </w:t>
      </w:r>
      <w:r>
        <w:t xml:space="preserve">is essentially a </w:t>
      </w:r>
      <w:r w:rsidR="00026AE9">
        <w:t>second</w:t>
      </w:r>
      <w:r>
        <w:t xml:space="preserve"> home.</w:t>
      </w:r>
      <w:r>
        <w:rPr>
          <w:rStyle w:val="EndnoteReference"/>
        </w:rPr>
        <w:endnoteReference w:id="5"/>
      </w:r>
      <w:r>
        <w:t xml:space="preserve">  </w:t>
      </w:r>
      <w:r w:rsidR="000D258D" w:rsidRPr="00532B64">
        <w:rPr>
          <w:szCs w:val="24"/>
        </w:rPr>
        <w:t>A taxpayer may only treat an aggregate of $1,000,000</w:t>
      </w:r>
      <w:r w:rsidR="007D6D13" w:rsidRPr="00532B64">
        <w:rPr>
          <w:szCs w:val="24"/>
        </w:rPr>
        <w:t xml:space="preserve"> as acquisition indebtedness</w:t>
      </w:r>
      <w:r>
        <w:rPr>
          <w:szCs w:val="24"/>
        </w:rPr>
        <w:t xml:space="preserve"> (spread over the two residences)</w:t>
      </w:r>
      <w:r w:rsidR="007D6D13" w:rsidRPr="00532B64">
        <w:rPr>
          <w:szCs w:val="24"/>
        </w:rPr>
        <w:t xml:space="preserve">, </w:t>
      </w:r>
      <w:r w:rsidR="007D6D13" w:rsidRPr="00532B64">
        <w:rPr>
          <w:i/>
          <w:iCs/>
          <w:szCs w:val="24"/>
        </w:rPr>
        <w:t>but</w:t>
      </w:r>
      <w:r w:rsidR="007D6D13" w:rsidRPr="00532B64">
        <w:rPr>
          <w:szCs w:val="24"/>
        </w:rPr>
        <w:t xml:space="preserve"> the amount of refinanced debt that may be treated as acquisition indebtedness is limited to the amount of debt being refinanced. </w:t>
      </w:r>
      <w:r>
        <w:rPr>
          <w:szCs w:val="24"/>
        </w:rPr>
        <w:t xml:space="preserve">  </w:t>
      </w:r>
      <w:r w:rsidRPr="00532B64">
        <w:rPr>
          <w:szCs w:val="24"/>
        </w:rPr>
        <w:t>The aggregate amount that may be treated as “home equity indebtedness” (that is, borrowing against the fair market value of the home, less the acquisit</w:t>
      </w:r>
      <w:r w:rsidR="009D4231">
        <w:rPr>
          <w:szCs w:val="24"/>
        </w:rPr>
        <w:t>ion indebtednes</w:t>
      </w:r>
      <w:bookmarkStart w:id="0" w:name="_GoBack"/>
      <w:bookmarkEnd w:id="0"/>
      <w:r w:rsidRPr="00532B64">
        <w:rPr>
          <w:szCs w:val="24"/>
        </w:rPr>
        <w:t xml:space="preserve"> to borrow against the “e</w:t>
      </w:r>
      <w:r>
        <w:rPr>
          <w:szCs w:val="24"/>
        </w:rPr>
        <w:t>quity” in the home) is $100,000,</w:t>
      </w:r>
      <w:r>
        <w:rPr>
          <w:rStyle w:val="EndnoteReference"/>
          <w:szCs w:val="24"/>
        </w:rPr>
        <w:endnoteReference w:id="6"/>
      </w:r>
      <w:r>
        <w:rPr>
          <w:szCs w:val="24"/>
        </w:rPr>
        <w:t xml:space="preserve"> or a</w:t>
      </w:r>
      <w:r w:rsidR="00026AE9">
        <w:rPr>
          <w:szCs w:val="24"/>
        </w:rPr>
        <w:t xml:space="preserve"> combined</w:t>
      </w:r>
      <w:r>
        <w:rPr>
          <w:szCs w:val="24"/>
        </w:rPr>
        <w:t xml:space="preserve"> maximum of $1,100,000 of indebtedness.</w:t>
      </w:r>
    </w:p>
    <w:p w:rsidR="00427B74" w:rsidRPr="00532B64" w:rsidRDefault="00A732CB" w:rsidP="00A732CB">
      <w:pPr>
        <w:pStyle w:val="PC"/>
        <w:ind w:left="0" w:firstLine="0"/>
      </w:pPr>
      <w:r>
        <w:rPr>
          <w:szCs w:val="24"/>
        </w:rPr>
        <w:tab/>
      </w:r>
      <w:r>
        <w:rPr>
          <w:i/>
          <w:szCs w:val="24"/>
        </w:rPr>
        <w:t>Example</w:t>
      </w:r>
      <w:r>
        <w:rPr>
          <w:szCs w:val="24"/>
        </w:rPr>
        <w:t>:  In 2012, Ashley and Asher, a married couple, purchase a principal residence for $400,000 financed in part by a $300,000 home acquisition loan.  In 2014, pursuant to a refinancing they borrow $350,000 to pay off the initial $300,000 loan and the other $50,000 to purchase two cars.  Of the amount borrowed, only $300,000 (the amount necessary to pay off the initial acquisition loan) is treated as acquisition debt.  The other $50,000 does not qualify as acquisition indebtedness.  However, assuming the residence is worth $400,000</w:t>
      </w:r>
      <w:r w:rsidR="00026AE9">
        <w:rPr>
          <w:szCs w:val="24"/>
        </w:rPr>
        <w:t xml:space="preserve"> (meaning there is $100,000 of equity)</w:t>
      </w:r>
      <w:r>
        <w:rPr>
          <w:szCs w:val="24"/>
        </w:rPr>
        <w:t xml:space="preserve">, the $50,000 additional </w:t>
      </w:r>
      <w:r>
        <w:rPr>
          <w:szCs w:val="24"/>
        </w:rPr>
        <w:lastRenderedPageBreak/>
        <w:t>indebtedness would qualify as home equity indebtedness.  As a result, the interest on the total indebtedness would be deductible as qualified residence interest.</w:t>
      </w:r>
      <w:r w:rsidRPr="00532B64">
        <w:t xml:space="preserve"> </w:t>
      </w:r>
    </w:p>
    <w:p w:rsidR="00834616" w:rsidRDefault="00834616" w:rsidP="005E77DB">
      <w:pPr>
        <w:pStyle w:val="PA"/>
        <w:ind w:firstLine="0"/>
        <w:rPr>
          <w:b/>
        </w:rPr>
      </w:pPr>
      <w:r>
        <w:rPr>
          <w:b/>
        </w:rPr>
        <w:t xml:space="preserve">8522.05.  </w:t>
      </w:r>
      <w:r w:rsidR="00A732CB">
        <w:rPr>
          <w:b/>
        </w:rPr>
        <w:t xml:space="preserve"> To what extent is the deductibility of interest limited by the application of the passive activity loss rules?</w:t>
      </w:r>
    </w:p>
    <w:p w:rsidR="00834616" w:rsidRDefault="00834616" w:rsidP="005E77DB">
      <w:pPr>
        <w:pStyle w:val="PC"/>
        <w:ind w:left="0" w:firstLine="0"/>
      </w:pPr>
      <w:r w:rsidRPr="00532B64" w:rsidDel="00834616">
        <w:t xml:space="preserve"> </w:t>
      </w:r>
      <w:r>
        <w:tab/>
      </w:r>
      <w:r w:rsidR="007D6D13" w:rsidRPr="00532B64">
        <w:t>A passive activity is generally an activity that involves the conduct of a trade or business in which the taxpayer does not materially participate, or any rental activity.</w:t>
      </w:r>
      <w:r w:rsidR="00A732CB">
        <w:rPr>
          <w:rStyle w:val="EndnoteReference"/>
        </w:rPr>
        <w:endnoteReference w:id="7"/>
      </w:r>
      <w:r w:rsidR="00A732CB">
        <w:rPr>
          <w:vertAlign w:val="superscript"/>
        </w:rPr>
        <w:t xml:space="preserve">  </w:t>
      </w:r>
      <w:r w:rsidR="00A732CB" w:rsidRPr="00532B64">
        <w:t xml:space="preserve"> </w:t>
      </w:r>
      <w:r w:rsidR="00A732CB">
        <w:t xml:space="preserve">Generally, the deductibility of passive expenses is limited to the amount of passive income.  The excess, passive loss, is not deductible.  Instead, it is carried over to subsequent tax years for potential deductibility against passive income generated in those years.  The same rules apply to the deductibility of interest related to a passive activity.  So the extent that otherwise deductible interest is related to a passive activity, some or all of the interest deduction </w:t>
      </w:r>
      <w:r w:rsidR="00804FC2" w:rsidRPr="00532B64">
        <w:t xml:space="preserve">Interest deductions that are allocated to passive activities may be </w:t>
      </w:r>
      <w:r w:rsidR="00A732CB">
        <w:t>similarly disallowed.</w:t>
      </w:r>
      <w:r w:rsidR="00A732CB">
        <w:rPr>
          <w:rStyle w:val="EndnoteReference"/>
        </w:rPr>
        <w:endnoteReference w:id="8"/>
      </w:r>
      <w:r w:rsidR="00A732CB">
        <w:t xml:space="preserve">  </w:t>
      </w:r>
      <w:r w:rsidR="00EE366E" w:rsidRPr="00532B64">
        <w:t xml:space="preserve">See </w:t>
      </w:r>
      <w:r w:rsidR="000465CA" w:rsidRPr="00532B64">
        <w:t>Q 86</w:t>
      </w:r>
      <w:r w:rsidR="00DD68C3" w:rsidRPr="00532B64">
        <w:t xml:space="preserve">03 </w:t>
      </w:r>
      <w:r w:rsidR="00427B74" w:rsidRPr="00532B64">
        <w:t xml:space="preserve">to </w:t>
      </w:r>
      <w:r w:rsidR="000465CA" w:rsidRPr="00532B64">
        <w:t>Q 86</w:t>
      </w:r>
      <w:r w:rsidR="00DD68C3" w:rsidRPr="00532B64">
        <w:t xml:space="preserve">12 </w:t>
      </w:r>
      <w:r w:rsidR="00EE366E" w:rsidRPr="00532B64">
        <w:t>for a detailed discussion of the passive loss rules</w:t>
      </w:r>
      <w:r w:rsidR="00EC6008" w:rsidRPr="00532B64">
        <w:t>;</w:t>
      </w:r>
    </w:p>
    <w:p w:rsidR="00834616" w:rsidRPr="005E77DB" w:rsidRDefault="00834616" w:rsidP="005E77DB">
      <w:pPr>
        <w:pStyle w:val="PA"/>
        <w:ind w:firstLine="0"/>
        <w:rPr>
          <w:b/>
        </w:rPr>
      </w:pPr>
      <w:r>
        <w:rPr>
          <w:b/>
        </w:rPr>
        <w:t>8522.06</w:t>
      </w:r>
      <w:proofErr w:type="gramStart"/>
      <w:r>
        <w:rPr>
          <w:b/>
        </w:rPr>
        <w:t xml:space="preserve">.  </w:t>
      </w:r>
      <w:r w:rsidR="00BC43D7">
        <w:rPr>
          <w:b/>
        </w:rPr>
        <w:t>Is</w:t>
      </w:r>
      <w:proofErr w:type="gramEnd"/>
      <w:r w:rsidR="00BC43D7">
        <w:rPr>
          <w:b/>
        </w:rPr>
        <w:t xml:space="preserve"> the interest on </w:t>
      </w:r>
      <w:r>
        <w:rPr>
          <w:b/>
        </w:rPr>
        <w:t>extended payments of estate tax</w:t>
      </w:r>
      <w:r w:rsidR="00BC43D7">
        <w:rPr>
          <w:b/>
        </w:rPr>
        <w:t xml:space="preserve"> deductible</w:t>
      </w:r>
      <w:r>
        <w:rPr>
          <w:b/>
        </w:rPr>
        <w:t>?</w:t>
      </w:r>
    </w:p>
    <w:p w:rsidR="00427B74" w:rsidRPr="00532B64" w:rsidRDefault="00BC43D7" w:rsidP="00BC43D7">
      <w:pPr>
        <w:pStyle w:val="PC"/>
        <w:ind w:left="0" w:firstLine="720"/>
      </w:pPr>
      <w:r>
        <w:t>If an extension to pay Federal estate tax over a period of time is in effect, the interest portion of the payment is deductible.</w:t>
      </w:r>
      <w:r>
        <w:rPr>
          <w:rStyle w:val="EndnoteReference"/>
        </w:rPr>
        <w:endnoteReference w:id="9"/>
      </w:r>
      <w:r>
        <w:t xml:space="preserve"> </w:t>
      </w:r>
    </w:p>
    <w:p w:rsidR="00834616" w:rsidRDefault="00834616" w:rsidP="005E77DB">
      <w:pPr>
        <w:pStyle w:val="PA"/>
        <w:ind w:firstLine="0"/>
        <w:rPr>
          <w:b/>
        </w:rPr>
      </w:pPr>
      <w:r>
        <w:rPr>
          <w:b/>
        </w:rPr>
        <w:t>8522.07</w:t>
      </w:r>
      <w:proofErr w:type="gramStart"/>
      <w:r>
        <w:rPr>
          <w:b/>
        </w:rPr>
        <w:t xml:space="preserve">.  </w:t>
      </w:r>
      <w:r w:rsidR="00BC43D7">
        <w:rPr>
          <w:b/>
        </w:rPr>
        <w:t>Is</w:t>
      </w:r>
      <w:proofErr w:type="gramEnd"/>
      <w:r w:rsidR="00BC43D7">
        <w:rPr>
          <w:b/>
        </w:rPr>
        <w:t xml:space="preserve"> the interest </w:t>
      </w:r>
      <w:r>
        <w:rPr>
          <w:b/>
        </w:rPr>
        <w:t>on education loans</w:t>
      </w:r>
      <w:r w:rsidR="00BC43D7">
        <w:rPr>
          <w:b/>
        </w:rPr>
        <w:t xml:space="preserve"> deductible</w:t>
      </w:r>
      <w:r>
        <w:rPr>
          <w:b/>
        </w:rPr>
        <w:t>?</w:t>
      </w:r>
    </w:p>
    <w:p w:rsidR="00427B74" w:rsidRPr="00532B64" w:rsidRDefault="00834616" w:rsidP="005E77DB">
      <w:pPr>
        <w:pStyle w:val="PC"/>
        <w:ind w:left="0" w:firstLine="0"/>
      </w:pPr>
      <w:r w:rsidRPr="00532B64" w:rsidDel="00834616">
        <w:t xml:space="preserve"> </w:t>
      </w:r>
      <w:r>
        <w:tab/>
      </w:r>
      <w:r w:rsidR="007D6D13" w:rsidRPr="00532B64">
        <w:t>An above-the-line deduction is available to certain taxpayers for interest paid on a “qualified education loan.”</w:t>
      </w:r>
      <w:r w:rsidR="00BC43D7">
        <w:rPr>
          <w:rStyle w:val="EndnoteReference"/>
        </w:rPr>
        <w:endnoteReference w:id="10"/>
      </w:r>
      <w:r w:rsidR="00BC43D7" w:rsidRPr="00532B64">
        <w:t xml:space="preserve"> </w:t>
      </w:r>
      <w:r w:rsidR="00BC43D7">
        <w:t xml:space="preserve"> In 2014, t</w:t>
      </w:r>
      <w:r w:rsidR="007D6D13" w:rsidRPr="00532B64">
        <w:t xml:space="preserve">he deduction is </w:t>
      </w:r>
      <w:r w:rsidR="00BC43D7">
        <w:t xml:space="preserve">limited to </w:t>
      </w:r>
      <w:r w:rsidR="007D6D13" w:rsidRPr="00532B64">
        <w:t xml:space="preserve">$2,500 </w:t>
      </w:r>
      <w:r w:rsidR="00BC43D7">
        <w:t>of such interest</w:t>
      </w:r>
      <w:r w:rsidR="007D6D13" w:rsidRPr="00532B64">
        <w:t>.</w:t>
      </w:r>
      <w:r w:rsidR="00BC43D7">
        <w:t xml:space="preserve">  However, t</w:t>
      </w:r>
      <w:r w:rsidR="007D6D13" w:rsidRPr="00532B64">
        <w:t>he deduction is phased out for taxpayers with modified AGI between $</w:t>
      </w:r>
      <w:r>
        <w:t>65</w:t>
      </w:r>
      <w:r w:rsidR="007D6D13" w:rsidRPr="00532B64">
        <w:t>,000 and $</w:t>
      </w:r>
      <w:r>
        <w:t>80</w:t>
      </w:r>
      <w:r w:rsidR="007D6D13" w:rsidRPr="00532B64">
        <w:t>,000 ($</w:t>
      </w:r>
      <w:r>
        <w:t>130</w:t>
      </w:r>
      <w:r w:rsidR="007D6D13" w:rsidRPr="00532B64">
        <w:t>,000 and $</w:t>
      </w:r>
      <w:r>
        <w:t>160</w:t>
      </w:r>
      <w:r w:rsidR="007D6D13" w:rsidRPr="00532B64">
        <w:t>,000 for joint returns)</w:t>
      </w:r>
      <w:r w:rsidR="007D6D13" w:rsidRPr="00532B64">
        <w:rPr>
          <w:rFonts w:ascii="Arial" w:hAnsi="Arial" w:cs="Arial"/>
          <w:color w:val="252525"/>
        </w:rPr>
        <w:t>.</w:t>
      </w:r>
      <w:r w:rsidR="007D6D13" w:rsidRPr="00532B64">
        <w:rPr>
          <w:vertAlign w:val="superscript"/>
        </w:rPr>
        <w:footnoteReference w:id="3"/>
      </w:r>
      <w:r w:rsidR="007D6D13" w:rsidRPr="00532B64">
        <w:t xml:space="preserve"> Certain other requirements must be met for the deduction to be available</w:t>
      </w:r>
      <w:r w:rsidR="00BC43D7">
        <w:t>.</w:t>
      </w:r>
      <w:r w:rsidR="00BC43D7">
        <w:rPr>
          <w:rStyle w:val="EndnoteReference"/>
        </w:rPr>
        <w:endnoteReference w:id="11"/>
      </w:r>
    </w:p>
    <w:p w:rsidR="00834616" w:rsidRDefault="00834616" w:rsidP="00834616">
      <w:pPr>
        <w:pStyle w:val="PA"/>
        <w:rPr>
          <w:b/>
        </w:rPr>
      </w:pPr>
      <w:r>
        <w:rPr>
          <w:b/>
        </w:rPr>
        <w:t>8522.08</w:t>
      </w:r>
      <w:proofErr w:type="gramStart"/>
      <w:r>
        <w:rPr>
          <w:b/>
        </w:rPr>
        <w:t xml:space="preserve">.  </w:t>
      </w:r>
      <w:r w:rsidR="00A732CB">
        <w:rPr>
          <w:b/>
        </w:rPr>
        <w:t>Is</w:t>
      </w:r>
      <w:proofErr w:type="gramEnd"/>
      <w:r w:rsidR="00A732CB">
        <w:rPr>
          <w:b/>
        </w:rPr>
        <w:t xml:space="preserve"> personal interest deductible</w:t>
      </w:r>
      <w:r>
        <w:rPr>
          <w:b/>
        </w:rPr>
        <w:t>?</w:t>
      </w:r>
    </w:p>
    <w:p w:rsidR="004E7836" w:rsidRPr="004E7836" w:rsidRDefault="00834616" w:rsidP="000C45E1">
      <w:pPr>
        <w:pStyle w:val="PC"/>
        <w:ind w:left="0" w:firstLine="0"/>
      </w:pPr>
      <w:r w:rsidRPr="00532B64" w:rsidDel="00834616">
        <w:t xml:space="preserve"> </w:t>
      </w:r>
      <w:r>
        <w:tab/>
      </w:r>
      <w:r w:rsidR="00BC43D7">
        <w:t>Pursuant to IRC section 163(h</w:t>
      </w:r>
      <w:proofErr w:type="gramStart"/>
      <w:r w:rsidR="00BC43D7">
        <w:t>)(</w:t>
      </w:r>
      <w:proofErr w:type="gramEnd"/>
      <w:r w:rsidR="00BC43D7">
        <w:t>1), all personal interest is deductible.  However, in defining personal interest, all of the types of interest described</w:t>
      </w:r>
      <w:r w:rsidR="007D6D13" w:rsidRPr="00532B64">
        <w:t xml:space="preserve"> </w:t>
      </w:r>
      <w:r>
        <w:t>Q8522.02</w:t>
      </w:r>
      <w:r w:rsidR="007D6D13" w:rsidRPr="00532B64">
        <w:t xml:space="preserve"> through </w:t>
      </w:r>
      <w:r>
        <w:t>Q8522.07</w:t>
      </w:r>
      <w:r w:rsidR="007D6D13" w:rsidRPr="00532B64">
        <w:t xml:space="preserve"> </w:t>
      </w:r>
      <w:r w:rsidR="00BC43D7">
        <w:t>are not considered personal interest, and, thus, are deductible subject to the limitations discussed therein.  Generally, non-deductible personal interest includes</w:t>
      </w:r>
      <w:r w:rsidR="000C45E1">
        <w:t xml:space="preserve"> but is not limited to consumer credit card interest, car loans and </w:t>
      </w:r>
      <w:r w:rsidR="007D6D13" w:rsidRPr="00532B64">
        <w:t xml:space="preserve">interest on tax deficiencies. </w:t>
      </w:r>
    </w:p>
    <w:sectPr w:rsidR="004E7836" w:rsidRPr="004E7836" w:rsidSect="00271A21">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3E" w:rsidRDefault="00D87A3E" w:rsidP="006F074C">
      <w:r>
        <w:separator/>
      </w:r>
    </w:p>
  </w:endnote>
  <w:endnote w:type="continuationSeparator" w:id="0">
    <w:p w:rsidR="00D87A3E" w:rsidRDefault="00D87A3E" w:rsidP="006F074C">
      <w:r>
        <w:continuationSeparator/>
      </w:r>
    </w:p>
  </w:endnote>
  <w:endnote w:id="1">
    <w:p w:rsidR="00B679EC" w:rsidRDefault="00B679EC">
      <w:pPr>
        <w:pStyle w:val="EndnoteText"/>
      </w:pPr>
      <w:r>
        <w:rPr>
          <w:rStyle w:val="EndnoteReference"/>
        </w:rPr>
        <w:endnoteRef/>
      </w:r>
      <w:r>
        <w:t xml:space="preserve"> </w:t>
      </w:r>
      <w:r>
        <w:rPr>
          <w:sz w:val="16"/>
          <w:szCs w:val="16"/>
        </w:rPr>
        <w:t>IRC S</w:t>
      </w:r>
      <w:r w:rsidRPr="00A732CB">
        <w:rPr>
          <w:sz w:val="16"/>
          <w:szCs w:val="16"/>
        </w:rPr>
        <w:t>ec. 265.</w:t>
      </w:r>
      <w:r>
        <w:t xml:space="preserve"> </w:t>
      </w:r>
    </w:p>
  </w:endnote>
  <w:endnote w:id="2">
    <w:p w:rsidR="00A732CB" w:rsidRPr="00A732CB" w:rsidRDefault="00A732CB">
      <w:pPr>
        <w:pStyle w:val="EndnoteText"/>
        <w:rPr>
          <w:sz w:val="16"/>
          <w:szCs w:val="16"/>
        </w:rPr>
      </w:pPr>
      <w:r>
        <w:rPr>
          <w:rStyle w:val="EndnoteReference"/>
        </w:rPr>
        <w:endnoteRef/>
      </w:r>
      <w:r>
        <w:t xml:space="preserve"> </w:t>
      </w:r>
      <w:r>
        <w:rPr>
          <w:sz w:val="16"/>
          <w:szCs w:val="16"/>
        </w:rPr>
        <w:t>IRS Publication 530 (2013).</w:t>
      </w:r>
    </w:p>
  </w:endnote>
  <w:endnote w:id="3">
    <w:p w:rsidR="00A732CB" w:rsidRPr="00A732CB" w:rsidRDefault="00A732CB">
      <w:pPr>
        <w:pStyle w:val="EndnoteText"/>
        <w:rPr>
          <w:sz w:val="16"/>
          <w:szCs w:val="16"/>
        </w:rPr>
      </w:pPr>
      <w:r>
        <w:rPr>
          <w:rStyle w:val="EndnoteReference"/>
        </w:rPr>
        <w:endnoteRef/>
      </w:r>
      <w:r>
        <w:t xml:space="preserve"> </w:t>
      </w:r>
      <w:r>
        <w:rPr>
          <w:sz w:val="16"/>
          <w:szCs w:val="16"/>
        </w:rPr>
        <w:t xml:space="preserve">IRC Sec. </w:t>
      </w:r>
      <w:proofErr w:type="gramStart"/>
      <w:r>
        <w:rPr>
          <w:sz w:val="16"/>
          <w:szCs w:val="16"/>
        </w:rPr>
        <w:t>163(d</w:t>
      </w:r>
      <w:proofErr w:type="gramEnd"/>
      <w:r>
        <w:rPr>
          <w:sz w:val="16"/>
          <w:szCs w:val="16"/>
        </w:rPr>
        <w:t>).</w:t>
      </w:r>
    </w:p>
  </w:endnote>
  <w:endnote w:id="4">
    <w:p w:rsidR="00A732CB" w:rsidRPr="00A732CB" w:rsidRDefault="00A732CB">
      <w:pPr>
        <w:pStyle w:val="EndnoteText"/>
        <w:rPr>
          <w:sz w:val="16"/>
          <w:szCs w:val="16"/>
        </w:rPr>
      </w:pPr>
      <w:r>
        <w:rPr>
          <w:rStyle w:val="EndnoteReference"/>
        </w:rPr>
        <w:endnoteRef/>
      </w:r>
      <w:r>
        <w:t xml:space="preserve"> </w:t>
      </w:r>
      <w:r w:rsidRPr="00A732CB">
        <w:rPr>
          <w:sz w:val="16"/>
          <w:szCs w:val="16"/>
        </w:rPr>
        <w:t>IRC Sec. 1(h)(11)(D)(</w:t>
      </w:r>
      <w:proofErr w:type="spellStart"/>
      <w:r w:rsidRPr="00A732CB">
        <w:rPr>
          <w:sz w:val="16"/>
          <w:szCs w:val="16"/>
        </w:rPr>
        <w:t>i</w:t>
      </w:r>
      <w:proofErr w:type="spellEnd"/>
      <w:r w:rsidRPr="00A732CB">
        <w:rPr>
          <w:sz w:val="16"/>
          <w:szCs w:val="16"/>
        </w:rPr>
        <w:t>),</w:t>
      </w:r>
    </w:p>
  </w:endnote>
  <w:endnote w:id="5">
    <w:p w:rsidR="00A732CB" w:rsidRPr="00A732CB" w:rsidRDefault="00A732CB">
      <w:pPr>
        <w:pStyle w:val="EndnoteText"/>
        <w:rPr>
          <w:sz w:val="16"/>
          <w:szCs w:val="16"/>
        </w:rPr>
      </w:pPr>
      <w:r>
        <w:rPr>
          <w:rStyle w:val="EndnoteReference"/>
        </w:rPr>
        <w:endnoteRef/>
      </w:r>
      <w:r>
        <w:t xml:space="preserve"> </w:t>
      </w:r>
      <w:r>
        <w:rPr>
          <w:sz w:val="16"/>
          <w:szCs w:val="16"/>
        </w:rPr>
        <w:t>IRC Sec. 164(h</w:t>
      </w:r>
      <w:proofErr w:type="gramStart"/>
      <w:r>
        <w:rPr>
          <w:sz w:val="16"/>
          <w:szCs w:val="16"/>
        </w:rPr>
        <w:t>)(</w:t>
      </w:r>
      <w:proofErr w:type="gramEnd"/>
      <w:r>
        <w:rPr>
          <w:sz w:val="16"/>
          <w:szCs w:val="16"/>
        </w:rPr>
        <w:t>4)(A).</w:t>
      </w:r>
    </w:p>
  </w:endnote>
  <w:endnote w:id="6">
    <w:p w:rsidR="00A732CB" w:rsidRPr="00A732CB" w:rsidRDefault="00A732CB">
      <w:pPr>
        <w:pStyle w:val="EndnoteText"/>
        <w:rPr>
          <w:sz w:val="16"/>
          <w:szCs w:val="16"/>
        </w:rPr>
      </w:pPr>
      <w:r>
        <w:rPr>
          <w:rStyle w:val="EndnoteReference"/>
        </w:rPr>
        <w:endnoteRef/>
      </w:r>
      <w:r>
        <w:t xml:space="preserve"> </w:t>
      </w:r>
      <w:r>
        <w:rPr>
          <w:sz w:val="16"/>
          <w:szCs w:val="16"/>
        </w:rPr>
        <w:t>IRC Sec. 164(h</w:t>
      </w:r>
      <w:proofErr w:type="gramStart"/>
      <w:r>
        <w:rPr>
          <w:sz w:val="16"/>
          <w:szCs w:val="16"/>
        </w:rPr>
        <w:t>)(</w:t>
      </w:r>
      <w:proofErr w:type="gramEnd"/>
      <w:r>
        <w:rPr>
          <w:sz w:val="16"/>
          <w:szCs w:val="16"/>
        </w:rPr>
        <w:t>3).</w:t>
      </w:r>
    </w:p>
  </w:endnote>
  <w:endnote w:id="7">
    <w:p w:rsidR="00A732CB" w:rsidRPr="00A732CB" w:rsidRDefault="00A732CB">
      <w:pPr>
        <w:pStyle w:val="EndnoteText"/>
        <w:rPr>
          <w:sz w:val="16"/>
          <w:szCs w:val="16"/>
        </w:rPr>
      </w:pPr>
      <w:r>
        <w:rPr>
          <w:rStyle w:val="EndnoteReference"/>
        </w:rPr>
        <w:endnoteRef/>
      </w:r>
      <w:r>
        <w:t xml:space="preserve"> </w:t>
      </w:r>
      <w:r>
        <w:rPr>
          <w:sz w:val="16"/>
          <w:szCs w:val="16"/>
        </w:rPr>
        <w:t>IRC Sec. 469.</w:t>
      </w:r>
    </w:p>
  </w:endnote>
  <w:endnote w:id="8">
    <w:p w:rsidR="00A732CB" w:rsidRPr="00A732CB" w:rsidRDefault="00A732CB">
      <w:pPr>
        <w:pStyle w:val="EndnoteText"/>
        <w:rPr>
          <w:sz w:val="16"/>
          <w:szCs w:val="16"/>
        </w:rPr>
      </w:pPr>
      <w:r>
        <w:rPr>
          <w:rStyle w:val="EndnoteReference"/>
        </w:rPr>
        <w:endnoteRef/>
      </w:r>
      <w:r>
        <w:t xml:space="preserve"> </w:t>
      </w:r>
      <w:r w:rsidRPr="00A732CB">
        <w:rPr>
          <w:sz w:val="16"/>
          <w:szCs w:val="16"/>
        </w:rPr>
        <w:t>IRC Sec. 469, Treas. Reg. §1.163-8T.</w:t>
      </w:r>
    </w:p>
  </w:endnote>
  <w:endnote w:id="9">
    <w:p w:rsidR="00BC43D7" w:rsidRPr="00BC43D7" w:rsidRDefault="00BC43D7">
      <w:pPr>
        <w:pStyle w:val="EndnoteText"/>
        <w:rPr>
          <w:sz w:val="16"/>
          <w:szCs w:val="16"/>
        </w:rPr>
      </w:pPr>
      <w:r>
        <w:rPr>
          <w:rStyle w:val="EndnoteReference"/>
        </w:rPr>
        <w:endnoteRef/>
      </w:r>
      <w:r>
        <w:t xml:space="preserve"> </w:t>
      </w:r>
      <w:r>
        <w:rPr>
          <w:sz w:val="16"/>
          <w:szCs w:val="16"/>
        </w:rPr>
        <w:t>IRC Sec. 163(h)(2)€</w:t>
      </w:r>
    </w:p>
  </w:endnote>
  <w:endnote w:id="10">
    <w:p w:rsidR="00BC43D7" w:rsidRDefault="00BC43D7">
      <w:pPr>
        <w:pStyle w:val="EndnoteText"/>
      </w:pPr>
      <w:r>
        <w:rPr>
          <w:rStyle w:val="EndnoteReference"/>
        </w:rPr>
        <w:endnoteRef/>
      </w:r>
      <w:r>
        <w:t xml:space="preserve"> </w:t>
      </w:r>
      <w:r w:rsidRPr="00BC43D7">
        <w:rPr>
          <w:sz w:val="16"/>
          <w:szCs w:val="16"/>
        </w:rPr>
        <w:t xml:space="preserve">IRC </w:t>
      </w:r>
      <w:proofErr w:type="spellStart"/>
      <w:r w:rsidRPr="00BC43D7">
        <w:rPr>
          <w:sz w:val="16"/>
          <w:szCs w:val="16"/>
        </w:rPr>
        <w:t>Secs</w:t>
      </w:r>
      <w:proofErr w:type="spellEnd"/>
      <w:r w:rsidRPr="00BC43D7">
        <w:rPr>
          <w:sz w:val="16"/>
          <w:szCs w:val="16"/>
        </w:rPr>
        <w:t>. 163(h</w:t>
      </w:r>
      <w:proofErr w:type="gramStart"/>
      <w:r w:rsidRPr="00BC43D7">
        <w:rPr>
          <w:sz w:val="16"/>
          <w:szCs w:val="16"/>
        </w:rPr>
        <w:t>)(</w:t>
      </w:r>
      <w:proofErr w:type="gramEnd"/>
      <w:r w:rsidRPr="00BC43D7">
        <w:rPr>
          <w:sz w:val="16"/>
          <w:szCs w:val="16"/>
        </w:rPr>
        <w:t>2)(F), 221.</w:t>
      </w:r>
    </w:p>
  </w:endnote>
  <w:endnote w:id="11">
    <w:p w:rsidR="00BC43D7" w:rsidRDefault="00BC43D7">
      <w:pPr>
        <w:pStyle w:val="EndnoteText"/>
      </w:pPr>
      <w:r>
        <w:rPr>
          <w:rStyle w:val="EndnoteReference"/>
        </w:rPr>
        <w:endnoteRef/>
      </w:r>
      <w:r>
        <w:t xml:space="preserve"> </w:t>
      </w:r>
      <w:r w:rsidRPr="00BC43D7">
        <w:rPr>
          <w:sz w:val="16"/>
          <w:szCs w:val="16"/>
        </w:rPr>
        <w:t>See IRC Sec. 221; Treas. Reg. §1.221-1.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3E" w:rsidRDefault="00D87A3E" w:rsidP="006F074C">
      <w:r>
        <w:separator/>
      </w:r>
    </w:p>
  </w:footnote>
  <w:footnote w:type="continuationSeparator" w:id="0">
    <w:p w:rsidR="00D87A3E" w:rsidRDefault="00D87A3E" w:rsidP="006F074C">
      <w:r>
        <w:continuationSeparator/>
      </w:r>
    </w:p>
  </w:footnote>
  <w:footnote w:id="1">
    <w:p w:rsidR="00B679EC" w:rsidRPr="006F2C06" w:rsidRDefault="00B679EC" w:rsidP="00B679EC">
      <w:pPr>
        <w:pStyle w:val="PQ"/>
      </w:pPr>
      <w:r w:rsidRPr="006F2C06">
        <w:footnoteRef/>
      </w:r>
      <w:r>
        <w:t>.</w:t>
      </w:r>
      <w:r>
        <w:tab/>
      </w:r>
      <w:r w:rsidRPr="006F2C06">
        <w:t>See Temp. Treas. Reg. §1.163-8T.</w:t>
      </w:r>
    </w:p>
  </w:footnote>
  <w:footnote w:id="2">
    <w:p w:rsidR="00D73FC0" w:rsidRPr="006F2C06" w:rsidRDefault="00D73FC0" w:rsidP="00FE5D9D">
      <w:pPr>
        <w:pStyle w:val="PQ"/>
      </w:pPr>
      <w:r w:rsidRPr="006F2C06">
        <w:footnoteRef/>
      </w:r>
      <w:r w:rsidR="00F16B3F">
        <w:t>.</w:t>
      </w:r>
      <w:r w:rsidR="00F16B3F">
        <w:tab/>
      </w:r>
      <w:r w:rsidR="00FE5D9D" w:rsidRPr="006F2C06">
        <w:t>IRC Sec. 163(d)(3).</w:t>
      </w:r>
    </w:p>
  </w:footnote>
  <w:footnote w:id="3">
    <w:p w:rsidR="00D73FC0" w:rsidRPr="006F2C06" w:rsidRDefault="00D73FC0" w:rsidP="00FE5D9D">
      <w:pPr>
        <w:pStyle w:val="PQ"/>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1">
    <w:nsid w:val="01B65D04"/>
    <w:multiLevelType w:val="hybridMultilevel"/>
    <w:tmpl w:val="5EC056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152CDE"/>
    <w:multiLevelType w:val="hybridMultilevel"/>
    <w:tmpl w:val="16CE5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072E76"/>
    <w:multiLevelType w:val="hybridMultilevel"/>
    <w:tmpl w:val="BFF46874"/>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37DC"/>
    <w:multiLevelType w:val="hybridMultilevel"/>
    <w:tmpl w:val="ED42B8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4763935"/>
    <w:multiLevelType w:val="hybridMultilevel"/>
    <w:tmpl w:val="AD063F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6311D34"/>
    <w:multiLevelType w:val="hybridMultilevel"/>
    <w:tmpl w:val="3A401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75B1591"/>
    <w:multiLevelType w:val="hybridMultilevel"/>
    <w:tmpl w:val="87483F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ABB0CF0"/>
    <w:multiLevelType w:val="hybridMultilevel"/>
    <w:tmpl w:val="88D830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8893208"/>
    <w:multiLevelType w:val="hybridMultilevel"/>
    <w:tmpl w:val="914C9F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B6625A"/>
    <w:multiLevelType w:val="hybridMultilevel"/>
    <w:tmpl w:val="CEB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BE334A"/>
    <w:multiLevelType w:val="hybridMultilevel"/>
    <w:tmpl w:val="D98E95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4F1648A4"/>
    <w:multiLevelType w:val="hybridMultilevel"/>
    <w:tmpl w:val="F3ACC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84466"/>
    <w:multiLevelType w:val="hybridMultilevel"/>
    <w:tmpl w:val="5C1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B2CBE"/>
    <w:multiLevelType w:val="singleLevel"/>
    <w:tmpl w:val="0409000F"/>
    <w:lvl w:ilvl="0">
      <w:start w:val="1"/>
      <w:numFmt w:val="decimal"/>
      <w:lvlText w:val="%1."/>
      <w:lvlJc w:val="left"/>
      <w:pPr>
        <w:tabs>
          <w:tab w:val="num" w:pos="360"/>
        </w:tabs>
        <w:ind w:left="360" w:hanging="360"/>
      </w:pPr>
    </w:lvl>
  </w:abstractNum>
  <w:abstractNum w:abstractNumId="21">
    <w:nsid w:val="54DC48F3"/>
    <w:multiLevelType w:val="hybridMultilevel"/>
    <w:tmpl w:val="20CEF1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DCD4640"/>
    <w:multiLevelType w:val="hybridMultilevel"/>
    <w:tmpl w:val="D84A26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3E765D5"/>
    <w:multiLevelType w:val="hybridMultilevel"/>
    <w:tmpl w:val="E3A6E1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nsid w:val="6A546E28"/>
    <w:multiLevelType w:val="hybridMultilevel"/>
    <w:tmpl w:val="881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686C85"/>
    <w:multiLevelType w:val="hybridMultilevel"/>
    <w:tmpl w:val="B7E8C7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nsid w:val="7F257861"/>
    <w:multiLevelType w:val="hybridMultilevel"/>
    <w:tmpl w:val="1AA0E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0"/>
  </w:num>
  <w:num w:numId="3">
    <w:abstractNumId w:val="25"/>
  </w:num>
  <w:num w:numId="4">
    <w:abstractNumId w:val="15"/>
  </w:num>
  <w:num w:numId="5">
    <w:abstractNumId w:val="9"/>
  </w:num>
  <w:num w:numId="6">
    <w:abstractNumId w:val="19"/>
  </w:num>
  <w:num w:numId="7">
    <w:abstractNumId w:val="22"/>
  </w:num>
  <w:num w:numId="8">
    <w:abstractNumId w:val="6"/>
  </w:num>
  <w:num w:numId="9">
    <w:abstractNumId w:val="1"/>
  </w:num>
  <w:num w:numId="10">
    <w:abstractNumId w:val="14"/>
  </w:num>
  <w:num w:numId="11">
    <w:abstractNumId w:val="21"/>
  </w:num>
  <w:num w:numId="12">
    <w:abstractNumId w:val="27"/>
  </w:num>
  <w:num w:numId="13">
    <w:abstractNumId w:val="5"/>
  </w:num>
  <w:num w:numId="14">
    <w:abstractNumId w:val="23"/>
  </w:num>
  <w:num w:numId="15">
    <w:abstractNumId w:val="8"/>
  </w:num>
  <w:num w:numId="16">
    <w:abstractNumId w:val="7"/>
  </w:num>
  <w:num w:numId="17">
    <w:abstractNumId w:val="11"/>
  </w:num>
  <w:num w:numId="18">
    <w:abstractNumId w:val="17"/>
  </w:num>
  <w:num w:numId="19">
    <w:abstractNumId w:val="10"/>
  </w:num>
  <w:num w:numId="20">
    <w:abstractNumId w:val="24"/>
  </w:num>
  <w:num w:numId="21">
    <w:abstractNumId w:val="2"/>
  </w:num>
  <w:num w:numId="22">
    <w:abstractNumId w:val="13"/>
  </w:num>
  <w:num w:numId="23">
    <w:abstractNumId w:val="29"/>
  </w:num>
  <w:num w:numId="24">
    <w:abstractNumId w:val="12"/>
  </w:num>
  <w:num w:numId="25">
    <w:abstractNumId w:val="20"/>
  </w:num>
  <w:num w:numId="26">
    <w:abstractNumId w:val="3"/>
  </w:num>
  <w:num w:numId="27">
    <w:abstractNumId w:val="4"/>
  </w:num>
  <w:num w:numId="28">
    <w:abstractNumId w:val="26"/>
  </w:num>
  <w:num w:numId="29">
    <w:abstractNumId w:val="28"/>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FB"/>
    <w:rsid w:val="00007B43"/>
    <w:rsid w:val="0001174C"/>
    <w:rsid w:val="000201D4"/>
    <w:rsid w:val="00026AE9"/>
    <w:rsid w:val="00037960"/>
    <w:rsid w:val="00043906"/>
    <w:rsid w:val="000465CA"/>
    <w:rsid w:val="0008018A"/>
    <w:rsid w:val="00083567"/>
    <w:rsid w:val="000925AB"/>
    <w:rsid w:val="00097038"/>
    <w:rsid w:val="000A2B66"/>
    <w:rsid w:val="000A6CAB"/>
    <w:rsid w:val="000B6372"/>
    <w:rsid w:val="000C45E1"/>
    <w:rsid w:val="000D258D"/>
    <w:rsid w:val="000D6146"/>
    <w:rsid w:val="000E6BBB"/>
    <w:rsid w:val="00114F5B"/>
    <w:rsid w:val="00116205"/>
    <w:rsid w:val="001244E9"/>
    <w:rsid w:val="00141FAB"/>
    <w:rsid w:val="0017741C"/>
    <w:rsid w:val="00197132"/>
    <w:rsid w:val="0019748C"/>
    <w:rsid w:val="001A2727"/>
    <w:rsid w:val="001D0595"/>
    <w:rsid w:val="001E1AC3"/>
    <w:rsid w:val="001F52F4"/>
    <w:rsid w:val="002000C6"/>
    <w:rsid w:val="00202A9B"/>
    <w:rsid w:val="00202F50"/>
    <w:rsid w:val="002040BD"/>
    <w:rsid w:val="00212ED8"/>
    <w:rsid w:val="00242C92"/>
    <w:rsid w:val="00243A4C"/>
    <w:rsid w:val="00264FD9"/>
    <w:rsid w:val="00271A21"/>
    <w:rsid w:val="00287277"/>
    <w:rsid w:val="002B58F5"/>
    <w:rsid w:val="002D5B52"/>
    <w:rsid w:val="002E46AF"/>
    <w:rsid w:val="002E4BFB"/>
    <w:rsid w:val="002F6745"/>
    <w:rsid w:val="00310C38"/>
    <w:rsid w:val="0032167A"/>
    <w:rsid w:val="00323E1D"/>
    <w:rsid w:val="00327BDB"/>
    <w:rsid w:val="00355BC4"/>
    <w:rsid w:val="00360557"/>
    <w:rsid w:val="00377919"/>
    <w:rsid w:val="003B1DF7"/>
    <w:rsid w:val="003B450F"/>
    <w:rsid w:val="003B65D8"/>
    <w:rsid w:val="003C1548"/>
    <w:rsid w:val="003F00D7"/>
    <w:rsid w:val="003F05E5"/>
    <w:rsid w:val="004167F4"/>
    <w:rsid w:val="00427B74"/>
    <w:rsid w:val="00435B94"/>
    <w:rsid w:val="00456493"/>
    <w:rsid w:val="004640FB"/>
    <w:rsid w:val="00474C65"/>
    <w:rsid w:val="00484642"/>
    <w:rsid w:val="00487A39"/>
    <w:rsid w:val="00492BA8"/>
    <w:rsid w:val="004C35EC"/>
    <w:rsid w:val="004C5F26"/>
    <w:rsid w:val="004E7836"/>
    <w:rsid w:val="00501B90"/>
    <w:rsid w:val="0050647C"/>
    <w:rsid w:val="00510738"/>
    <w:rsid w:val="00511E10"/>
    <w:rsid w:val="00521FCB"/>
    <w:rsid w:val="005223B9"/>
    <w:rsid w:val="00532B64"/>
    <w:rsid w:val="005611F2"/>
    <w:rsid w:val="00565698"/>
    <w:rsid w:val="0056737A"/>
    <w:rsid w:val="00573817"/>
    <w:rsid w:val="00590D68"/>
    <w:rsid w:val="005A7B2C"/>
    <w:rsid w:val="005B0930"/>
    <w:rsid w:val="005B53F2"/>
    <w:rsid w:val="005C64AC"/>
    <w:rsid w:val="005D3E71"/>
    <w:rsid w:val="005E18C8"/>
    <w:rsid w:val="005E1E5E"/>
    <w:rsid w:val="005E1F03"/>
    <w:rsid w:val="005E3CAD"/>
    <w:rsid w:val="005E77DB"/>
    <w:rsid w:val="00605375"/>
    <w:rsid w:val="006152E6"/>
    <w:rsid w:val="0061599B"/>
    <w:rsid w:val="00664BF0"/>
    <w:rsid w:val="00667AE6"/>
    <w:rsid w:val="0068069B"/>
    <w:rsid w:val="00695FA3"/>
    <w:rsid w:val="006B1DE0"/>
    <w:rsid w:val="006C1680"/>
    <w:rsid w:val="006C6B16"/>
    <w:rsid w:val="006D650C"/>
    <w:rsid w:val="006E0E1D"/>
    <w:rsid w:val="006E34CD"/>
    <w:rsid w:val="006F074C"/>
    <w:rsid w:val="00704D91"/>
    <w:rsid w:val="00723223"/>
    <w:rsid w:val="00725A6D"/>
    <w:rsid w:val="007343A3"/>
    <w:rsid w:val="007865B2"/>
    <w:rsid w:val="00786F5E"/>
    <w:rsid w:val="00794370"/>
    <w:rsid w:val="007B5A4F"/>
    <w:rsid w:val="007D39E8"/>
    <w:rsid w:val="007D6D13"/>
    <w:rsid w:val="007D7748"/>
    <w:rsid w:val="0080472F"/>
    <w:rsid w:val="00804FC2"/>
    <w:rsid w:val="008316E9"/>
    <w:rsid w:val="00834616"/>
    <w:rsid w:val="00835C56"/>
    <w:rsid w:val="00844B76"/>
    <w:rsid w:val="00852978"/>
    <w:rsid w:val="008864E6"/>
    <w:rsid w:val="008A42E4"/>
    <w:rsid w:val="008B16D5"/>
    <w:rsid w:val="008C2D90"/>
    <w:rsid w:val="008D4B69"/>
    <w:rsid w:val="008E11EC"/>
    <w:rsid w:val="008E4CF6"/>
    <w:rsid w:val="008F7667"/>
    <w:rsid w:val="009003A2"/>
    <w:rsid w:val="00920178"/>
    <w:rsid w:val="009343FA"/>
    <w:rsid w:val="00944E4E"/>
    <w:rsid w:val="0095488D"/>
    <w:rsid w:val="00957231"/>
    <w:rsid w:val="009626DD"/>
    <w:rsid w:val="009678E1"/>
    <w:rsid w:val="0097483E"/>
    <w:rsid w:val="009938E4"/>
    <w:rsid w:val="009C73DD"/>
    <w:rsid w:val="009D4231"/>
    <w:rsid w:val="009F75A1"/>
    <w:rsid w:val="00A02AF1"/>
    <w:rsid w:val="00A03817"/>
    <w:rsid w:val="00A05FEA"/>
    <w:rsid w:val="00A2685C"/>
    <w:rsid w:val="00A268AC"/>
    <w:rsid w:val="00A44BAD"/>
    <w:rsid w:val="00A46971"/>
    <w:rsid w:val="00A732CB"/>
    <w:rsid w:val="00A82E6D"/>
    <w:rsid w:val="00B15D08"/>
    <w:rsid w:val="00B20CBB"/>
    <w:rsid w:val="00B47F6C"/>
    <w:rsid w:val="00B679EC"/>
    <w:rsid w:val="00B97105"/>
    <w:rsid w:val="00BA22F5"/>
    <w:rsid w:val="00BB226A"/>
    <w:rsid w:val="00BC19F7"/>
    <w:rsid w:val="00BC43D7"/>
    <w:rsid w:val="00BC5792"/>
    <w:rsid w:val="00BC6F51"/>
    <w:rsid w:val="00BE317F"/>
    <w:rsid w:val="00BF4BC0"/>
    <w:rsid w:val="00C15AF0"/>
    <w:rsid w:val="00C1615A"/>
    <w:rsid w:val="00C3032D"/>
    <w:rsid w:val="00C360BE"/>
    <w:rsid w:val="00C5496F"/>
    <w:rsid w:val="00C56A94"/>
    <w:rsid w:val="00C64FEC"/>
    <w:rsid w:val="00C7768E"/>
    <w:rsid w:val="00C92346"/>
    <w:rsid w:val="00CB0AF1"/>
    <w:rsid w:val="00CB72C3"/>
    <w:rsid w:val="00CD22F0"/>
    <w:rsid w:val="00CF5092"/>
    <w:rsid w:val="00D0195D"/>
    <w:rsid w:val="00D418E3"/>
    <w:rsid w:val="00D51611"/>
    <w:rsid w:val="00D72E05"/>
    <w:rsid w:val="00D73FC0"/>
    <w:rsid w:val="00D81626"/>
    <w:rsid w:val="00D87A3E"/>
    <w:rsid w:val="00DC02E2"/>
    <w:rsid w:val="00DC0B50"/>
    <w:rsid w:val="00DD22D9"/>
    <w:rsid w:val="00DD68C3"/>
    <w:rsid w:val="00DE67F6"/>
    <w:rsid w:val="00DE76C2"/>
    <w:rsid w:val="00DF4691"/>
    <w:rsid w:val="00DF78BD"/>
    <w:rsid w:val="00E20C72"/>
    <w:rsid w:val="00E23001"/>
    <w:rsid w:val="00E260EE"/>
    <w:rsid w:val="00E34083"/>
    <w:rsid w:val="00E345E3"/>
    <w:rsid w:val="00E57EB0"/>
    <w:rsid w:val="00E67D60"/>
    <w:rsid w:val="00E70D9A"/>
    <w:rsid w:val="00E76573"/>
    <w:rsid w:val="00E8579E"/>
    <w:rsid w:val="00E9415A"/>
    <w:rsid w:val="00EA0B82"/>
    <w:rsid w:val="00EA727D"/>
    <w:rsid w:val="00EB0911"/>
    <w:rsid w:val="00EB2D4F"/>
    <w:rsid w:val="00EB47DD"/>
    <w:rsid w:val="00EC085E"/>
    <w:rsid w:val="00EC6008"/>
    <w:rsid w:val="00ED2B32"/>
    <w:rsid w:val="00EE366E"/>
    <w:rsid w:val="00EE4324"/>
    <w:rsid w:val="00F118CC"/>
    <w:rsid w:val="00F16B3F"/>
    <w:rsid w:val="00F27940"/>
    <w:rsid w:val="00F4415E"/>
    <w:rsid w:val="00F66D50"/>
    <w:rsid w:val="00F96BEC"/>
    <w:rsid w:val="00F9714F"/>
    <w:rsid w:val="00FB7360"/>
    <w:rsid w:val="00FC74E6"/>
    <w:rsid w:val="00FD7753"/>
    <w:rsid w:val="00FE5D9D"/>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F27940"/>
    <w:rPr>
      <w:rFonts w:ascii="Perpetua Std" w:hAnsi="Perpetua Std"/>
    </w:rPr>
  </w:style>
  <w:style w:type="paragraph" w:styleId="Heading1">
    <w:name w:val="heading 1"/>
    <w:basedOn w:val="Normal"/>
    <w:next w:val="Normal"/>
    <w:link w:val="Heading1Char"/>
    <w:qFormat/>
    <w:rsid w:val="00F27940"/>
    <w:pPr>
      <w:keepNext/>
      <w:outlineLvl w:val="0"/>
    </w:pPr>
    <w:rPr>
      <w:b/>
    </w:rPr>
  </w:style>
  <w:style w:type="paragraph" w:styleId="Heading2">
    <w:name w:val="heading 2"/>
    <w:basedOn w:val="Normal"/>
    <w:next w:val="Normal"/>
    <w:link w:val="Heading2Char"/>
    <w:qFormat/>
    <w:rsid w:val="00F27940"/>
    <w:pPr>
      <w:keepNext/>
      <w:spacing w:before="240" w:after="60"/>
      <w:outlineLvl w:val="1"/>
    </w:pPr>
    <w:rPr>
      <w:rFonts w:ascii="Arial" w:hAnsi="Arial"/>
      <w:b/>
      <w:i/>
      <w:sz w:val="24"/>
    </w:rPr>
  </w:style>
  <w:style w:type="paragraph" w:styleId="Heading3">
    <w:name w:val="heading 3"/>
    <w:basedOn w:val="Normal"/>
    <w:next w:val="Normal"/>
    <w:link w:val="Heading3Char"/>
    <w:qFormat/>
    <w:rsid w:val="00F2794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F27940"/>
    <w:pPr>
      <w:spacing w:after="240"/>
      <w:jc w:val="both"/>
    </w:pPr>
    <w:rPr>
      <w:rFonts w:ascii="Helvetica LT Std" w:hAnsi="Helvetica LT Std"/>
      <w:b/>
      <w:color w:val="000000"/>
      <w:sz w:val="26"/>
    </w:rPr>
  </w:style>
  <w:style w:type="paragraph" w:customStyle="1" w:styleId="PA">
    <w:name w:val="PA"/>
    <w:next w:val="Normal"/>
    <w:link w:val="PAChar"/>
    <w:rsid w:val="00F27940"/>
    <w:pPr>
      <w:spacing w:after="240"/>
      <w:ind w:firstLine="288"/>
      <w:jc w:val="both"/>
    </w:pPr>
    <w:rPr>
      <w:rFonts w:ascii="Perpetua Std" w:hAnsi="Perpetua Std"/>
      <w:color w:val="000000"/>
      <w:sz w:val="24"/>
    </w:rPr>
  </w:style>
  <w:style w:type="character" w:customStyle="1" w:styleId="PAChar">
    <w:name w:val="PA Char"/>
    <w:link w:val="PA"/>
    <w:rsid w:val="00F27940"/>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F27940"/>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F27940"/>
    <w:pPr>
      <w:tabs>
        <w:tab w:val="left" w:pos="720"/>
      </w:tabs>
      <w:spacing w:after="240"/>
      <w:ind w:left="720" w:hanging="360"/>
      <w:jc w:val="both"/>
    </w:pPr>
    <w:rPr>
      <w:rFonts w:ascii="Perpetua Std" w:hAnsi="Perpetua Std"/>
      <w:color w:val="000000"/>
      <w:sz w:val="24"/>
    </w:rPr>
  </w:style>
  <w:style w:type="paragraph" w:customStyle="1" w:styleId="HD">
    <w:name w:val="HD"/>
    <w:rsid w:val="00F27940"/>
    <w:pPr>
      <w:suppressAutoHyphens/>
      <w:spacing w:before="120"/>
      <w:jc w:val="center"/>
    </w:pPr>
    <w:rPr>
      <w:rFonts w:ascii="Helvetica LT Std" w:hAnsi="Helvetica LT Std"/>
      <w:sz w:val="26"/>
      <w:szCs w:val="18"/>
    </w:rPr>
  </w:style>
  <w:style w:type="paragraph" w:customStyle="1" w:styleId="PN">
    <w:name w:val="PN"/>
    <w:rsid w:val="00F27940"/>
    <w:pPr>
      <w:spacing w:after="240"/>
      <w:ind w:left="720" w:firstLine="288"/>
      <w:jc w:val="both"/>
    </w:pPr>
    <w:rPr>
      <w:rFonts w:ascii="Perpetua Std" w:eastAsia="MS Mincho" w:hAnsi="Perpetua Std"/>
      <w:color w:val="000000"/>
    </w:rPr>
  </w:style>
  <w:style w:type="paragraph" w:customStyle="1" w:styleId="PB">
    <w:name w:val="PB"/>
    <w:rsid w:val="00F27940"/>
    <w:pPr>
      <w:spacing w:after="240"/>
      <w:jc w:val="both"/>
    </w:pPr>
    <w:rPr>
      <w:rFonts w:ascii="Perpetua Std" w:hAnsi="Perpetua Std"/>
      <w:color w:val="000000"/>
      <w:sz w:val="24"/>
    </w:rPr>
  </w:style>
  <w:style w:type="paragraph" w:customStyle="1" w:styleId="PQ">
    <w:name w:val="PQ"/>
    <w:link w:val="PQChar"/>
    <w:rsid w:val="00F27940"/>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F27940"/>
    <w:rPr>
      <w:rFonts w:ascii="Adobe Caslon Pro" w:hAnsi="Adobe Caslon Pro"/>
      <w:color w:val="000000"/>
      <w:sz w:val="14"/>
    </w:rPr>
  </w:style>
  <w:style w:type="paragraph" w:customStyle="1" w:styleId="PF">
    <w:name w:val="PF"/>
    <w:rsid w:val="00F27940"/>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F27940"/>
    <w:pPr>
      <w:spacing w:before="120" w:after="120"/>
      <w:jc w:val="center"/>
    </w:pPr>
    <w:rPr>
      <w:rFonts w:ascii="Helvetica LT Std" w:hAnsi="Helvetica LT Std"/>
      <w:sz w:val="24"/>
    </w:rPr>
  </w:style>
  <w:style w:type="table" w:styleId="TableGrid">
    <w:name w:val="Table Grid"/>
    <w:basedOn w:val="TableNormal"/>
    <w:rsid w:val="00F2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F27940"/>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F27940"/>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F27940"/>
    <w:pPr>
      <w:spacing w:before="144"/>
      <w:jc w:val="both"/>
    </w:pPr>
    <w:rPr>
      <w:noProof/>
    </w:rPr>
  </w:style>
  <w:style w:type="paragraph" w:customStyle="1" w:styleId="PD">
    <w:name w:val="PD"/>
    <w:rsid w:val="00F27940"/>
    <w:pPr>
      <w:spacing w:after="240"/>
      <w:ind w:left="720" w:firstLine="288"/>
      <w:jc w:val="both"/>
    </w:pPr>
    <w:rPr>
      <w:rFonts w:ascii="Perpetua Std" w:hAnsi="Perpetua Std"/>
      <w:color w:val="000000"/>
      <w:sz w:val="24"/>
    </w:rPr>
  </w:style>
  <w:style w:type="paragraph" w:customStyle="1" w:styleId="PE">
    <w:name w:val="PE"/>
    <w:rsid w:val="00F27940"/>
    <w:pPr>
      <w:spacing w:after="240"/>
      <w:ind w:left="720"/>
      <w:jc w:val="both"/>
    </w:pPr>
    <w:rPr>
      <w:rFonts w:ascii="Perpetua Std" w:hAnsi="Perpetua Std"/>
      <w:color w:val="000000"/>
      <w:sz w:val="24"/>
    </w:rPr>
  </w:style>
  <w:style w:type="paragraph" w:customStyle="1" w:styleId="PG">
    <w:name w:val="PG"/>
    <w:rsid w:val="00F27940"/>
    <w:pPr>
      <w:spacing w:after="240"/>
      <w:ind w:left="360"/>
      <w:jc w:val="both"/>
    </w:pPr>
    <w:rPr>
      <w:rFonts w:ascii="Perpetua Std" w:hAnsi="Perpetua Std"/>
      <w:color w:val="000000"/>
      <w:sz w:val="24"/>
    </w:rPr>
  </w:style>
  <w:style w:type="paragraph" w:customStyle="1" w:styleId="PH">
    <w:name w:val="PH"/>
    <w:rsid w:val="00F27940"/>
    <w:pPr>
      <w:tabs>
        <w:tab w:val="left" w:pos="360"/>
      </w:tabs>
      <w:spacing w:after="240"/>
      <w:ind w:left="360" w:hanging="360"/>
      <w:jc w:val="both"/>
    </w:pPr>
    <w:rPr>
      <w:rFonts w:ascii="Perpetua Std" w:hAnsi="Perpetua Std"/>
      <w:color w:val="000000"/>
      <w:sz w:val="24"/>
    </w:rPr>
  </w:style>
  <w:style w:type="paragraph" w:customStyle="1" w:styleId="PI">
    <w:name w:val="PI"/>
    <w:rsid w:val="00F27940"/>
    <w:pPr>
      <w:spacing w:after="240"/>
      <w:ind w:left="360" w:hanging="360"/>
      <w:jc w:val="both"/>
    </w:pPr>
    <w:rPr>
      <w:rFonts w:ascii="Perpetua Std" w:hAnsi="Perpetua Std"/>
      <w:color w:val="000000"/>
      <w:sz w:val="24"/>
    </w:rPr>
  </w:style>
  <w:style w:type="paragraph" w:customStyle="1" w:styleId="PK">
    <w:name w:val="PK"/>
    <w:rsid w:val="00F27940"/>
    <w:pPr>
      <w:spacing w:after="240"/>
      <w:ind w:left="360" w:firstLine="288"/>
      <w:jc w:val="both"/>
    </w:pPr>
    <w:rPr>
      <w:rFonts w:ascii="Perpetua Std" w:hAnsi="Perpetua Std"/>
      <w:color w:val="000000"/>
      <w:sz w:val="24"/>
    </w:rPr>
  </w:style>
  <w:style w:type="paragraph" w:customStyle="1" w:styleId="PL">
    <w:name w:val="PL"/>
    <w:rsid w:val="00F27940"/>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F27940"/>
    <w:pPr>
      <w:spacing w:after="240"/>
      <w:ind w:left="432" w:right="432" w:firstLine="432"/>
      <w:jc w:val="both"/>
    </w:pPr>
    <w:rPr>
      <w:rFonts w:ascii="Minion Pro" w:hAnsi="Minion Pro"/>
    </w:rPr>
  </w:style>
  <w:style w:type="paragraph" w:customStyle="1" w:styleId="TOC">
    <w:name w:val="TOC"/>
    <w:autoRedefine/>
    <w:rsid w:val="00F27940"/>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F27940"/>
    <w:pPr>
      <w:tabs>
        <w:tab w:val="clear" w:pos="1440"/>
        <w:tab w:val="clear" w:pos="8640"/>
        <w:tab w:val="left" w:pos="240"/>
        <w:tab w:val="left" w:pos="480"/>
        <w:tab w:val="right" w:leader="dot" w:pos="4680"/>
      </w:tabs>
      <w:ind w:left="0" w:firstLine="0"/>
    </w:pPr>
    <w:rPr>
      <w:sz w:val="22"/>
    </w:rPr>
  </w:style>
  <w:style w:type="paragraph" w:customStyle="1" w:styleId="PP">
    <w:name w:val="PP"/>
    <w:rsid w:val="00F27940"/>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F27940"/>
    <w:pPr>
      <w:spacing w:after="240"/>
      <w:jc w:val="center"/>
    </w:pPr>
    <w:rPr>
      <w:rFonts w:ascii="Helvetica LT Std" w:hAnsi="Helvetica LT Std"/>
      <w:b/>
      <w:caps/>
      <w:color w:val="000000"/>
      <w:sz w:val="36"/>
      <w:szCs w:val="32"/>
    </w:rPr>
  </w:style>
  <w:style w:type="paragraph" w:customStyle="1" w:styleId="HB">
    <w:name w:val="HB"/>
    <w:rsid w:val="00F27940"/>
    <w:pPr>
      <w:spacing w:before="120" w:after="240"/>
      <w:jc w:val="center"/>
    </w:pPr>
    <w:rPr>
      <w:rFonts w:ascii="Helvetica LT Std" w:hAnsi="Helvetica LT Std"/>
      <w:b/>
      <w:color w:val="5F5F5F"/>
      <w:w w:val="105"/>
      <w:sz w:val="32"/>
    </w:rPr>
  </w:style>
  <w:style w:type="paragraph" w:customStyle="1" w:styleId="HC">
    <w:name w:val="HC"/>
    <w:autoRedefine/>
    <w:rsid w:val="00F27940"/>
    <w:pPr>
      <w:tabs>
        <w:tab w:val="left" w:pos="284"/>
      </w:tabs>
      <w:spacing w:before="120" w:after="120"/>
      <w:jc w:val="center"/>
    </w:pPr>
    <w:rPr>
      <w:rFonts w:ascii="Helvetica LT Std" w:hAnsi="Helvetica LT Std"/>
      <w:b/>
      <w:color w:val="000000"/>
      <w:w w:val="110"/>
      <w:sz w:val="26"/>
    </w:rPr>
  </w:style>
  <w:style w:type="paragraph" w:customStyle="1" w:styleId="PR">
    <w:name w:val="PR"/>
    <w:rsid w:val="00F27940"/>
    <w:pPr>
      <w:spacing w:after="240"/>
      <w:ind w:left="360" w:firstLine="288"/>
      <w:jc w:val="both"/>
    </w:pPr>
    <w:rPr>
      <w:rFonts w:ascii="Adobe Caslon Pro" w:hAnsi="Adobe Caslon Pro"/>
      <w:color w:val="000000"/>
      <w:sz w:val="14"/>
    </w:rPr>
  </w:style>
  <w:style w:type="paragraph" w:customStyle="1" w:styleId="PO">
    <w:name w:val="PO"/>
    <w:rsid w:val="00F27940"/>
    <w:pPr>
      <w:spacing w:after="240"/>
      <w:jc w:val="both"/>
    </w:pPr>
    <w:rPr>
      <w:rFonts w:ascii="Perpetua Std" w:hAnsi="Perpetua Std"/>
      <w:color w:val="000000"/>
      <w:w w:val="95"/>
      <w:szCs w:val="16"/>
    </w:rPr>
  </w:style>
  <w:style w:type="paragraph" w:customStyle="1" w:styleId="GUIDEX">
    <w:name w:val="GUIDEX"/>
    <w:rsid w:val="00F27940"/>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F27940"/>
    <w:pPr>
      <w:tabs>
        <w:tab w:val="clear" w:pos="240"/>
        <w:tab w:val="clear" w:pos="480"/>
        <w:tab w:val="clear" w:pos="720"/>
        <w:tab w:val="right" w:pos="4680"/>
      </w:tabs>
    </w:pPr>
  </w:style>
  <w:style w:type="paragraph" w:customStyle="1" w:styleId="PCB">
    <w:name w:val="PCB"/>
    <w:autoRedefine/>
    <w:rsid w:val="00F27940"/>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F27940"/>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F27940"/>
    <w:rPr>
      <w:rFonts w:ascii="Perpetua Std" w:hAnsi="Perpetua Std"/>
    </w:rPr>
  </w:style>
  <w:style w:type="paragraph" w:styleId="NoSpacing">
    <w:name w:val="No Spacing"/>
    <w:qFormat/>
    <w:rsid w:val="00F27940"/>
    <w:rPr>
      <w:rFonts w:ascii="Perpetua" w:hAnsi="Perpetua"/>
    </w:rPr>
  </w:style>
  <w:style w:type="paragraph" w:customStyle="1" w:styleId="PCA">
    <w:name w:val="PCA"/>
    <w:rsid w:val="00F27940"/>
    <w:pPr>
      <w:numPr>
        <w:numId w:val="29"/>
      </w:numPr>
      <w:tabs>
        <w:tab w:val="left" w:pos="720"/>
      </w:tabs>
      <w:spacing w:after="240"/>
      <w:jc w:val="both"/>
    </w:pPr>
    <w:rPr>
      <w:rFonts w:ascii="Perpetua Std" w:hAnsi="Perpetua Std"/>
      <w:sz w:val="24"/>
    </w:rPr>
  </w:style>
  <w:style w:type="paragraph" w:customStyle="1" w:styleId="PHB">
    <w:name w:val="PHB"/>
    <w:rsid w:val="00F27940"/>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F27940"/>
    <w:rPr>
      <w:rFonts w:ascii="Perpetua Std" w:eastAsia="MS Mincho" w:hAnsi="Perpetua Std"/>
      <w:color w:val="000000"/>
      <w:sz w:val="22"/>
    </w:rPr>
  </w:style>
  <w:style w:type="paragraph" w:styleId="EndnoteText">
    <w:name w:val="endnote text"/>
    <w:basedOn w:val="Normal"/>
    <w:link w:val="EndnoteTextChar"/>
    <w:semiHidden/>
    <w:unhideWhenUsed/>
    <w:rsid w:val="00B679EC"/>
  </w:style>
  <w:style w:type="character" w:customStyle="1" w:styleId="EndnoteTextChar">
    <w:name w:val="Endnote Text Char"/>
    <w:basedOn w:val="DefaultParagraphFont"/>
    <w:link w:val="EndnoteText"/>
    <w:semiHidden/>
    <w:rsid w:val="00B679EC"/>
    <w:rPr>
      <w:rFonts w:ascii="Perpetua Std" w:hAnsi="Perpetua Std"/>
    </w:rPr>
  </w:style>
  <w:style w:type="character" w:styleId="EndnoteReference">
    <w:name w:val="endnote reference"/>
    <w:basedOn w:val="DefaultParagraphFont"/>
    <w:semiHidden/>
    <w:unhideWhenUsed/>
    <w:rsid w:val="00B679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F27940"/>
    <w:rPr>
      <w:rFonts w:ascii="Perpetua Std" w:hAnsi="Perpetua Std"/>
    </w:rPr>
  </w:style>
  <w:style w:type="paragraph" w:styleId="Heading1">
    <w:name w:val="heading 1"/>
    <w:basedOn w:val="Normal"/>
    <w:next w:val="Normal"/>
    <w:link w:val="Heading1Char"/>
    <w:qFormat/>
    <w:rsid w:val="00F27940"/>
    <w:pPr>
      <w:keepNext/>
      <w:outlineLvl w:val="0"/>
    </w:pPr>
    <w:rPr>
      <w:b/>
    </w:rPr>
  </w:style>
  <w:style w:type="paragraph" w:styleId="Heading2">
    <w:name w:val="heading 2"/>
    <w:basedOn w:val="Normal"/>
    <w:next w:val="Normal"/>
    <w:link w:val="Heading2Char"/>
    <w:qFormat/>
    <w:rsid w:val="00F27940"/>
    <w:pPr>
      <w:keepNext/>
      <w:spacing w:before="240" w:after="60"/>
      <w:outlineLvl w:val="1"/>
    </w:pPr>
    <w:rPr>
      <w:rFonts w:ascii="Arial" w:hAnsi="Arial"/>
      <w:b/>
      <w:i/>
      <w:sz w:val="24"/>
    </w:rPr>
  </w:style>
  <w:style w:type="paragraph" w:styleId="Heading3">
    <w:name w:val="heading 3"/>
    <w:basedOn w:val="Normal"/>
    <w:next w:val="Normal"/>
    <w:link w:val="Heading3Char"/>
    <w:qFormat/>
    <w:rsid w:val="00F2794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F27940"/>
    <w:pPr>
      <w:spacing w:after="240"/>
      <w:jc w:val="both"/>
    </w:pPr>
    <w:rPr>
      <w:rFonts w:ascii="Helvetica LT Std" w:hAnsi="Helvetica LT Std"/>
      <w:b/>
      <w:color w:val="000000"/>
      <w:sz w:val="26"/>
    </w:rPr>
  </w:style>
  <w:style w:type="paragraph" w:customStyle="1" w:styleId="PA">
    <w:name w:val="PA"/>
    <w:next w:val="Normal"/>
    <w:link w:val="PAChar"/>
    <w:rsid w:val="00F27940"/>
    <w:pPr>
      <w:spacing w:after="240"/>
      <w:ind w:firstLine="288"/>
      <w:jc w:val="both"/>
    </w:pPr>
    <w:rPr>
      <w:rFonts w:ascii="Perpetua Std" w:hAnsi="Perpetua Std"/>
      <w:color w:val="000000"/>
      <w:sz w:val="24"/>
    </w:rPr>
  </w:style>
  <w:style w:type="character" w:customStyle="1" w:styleId="PAChar">
    <w:name w:val="PA Char"/>
    <w:link w:val="PA"/>
    <w:rsid w:val="00F27940"/>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F27940"/>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F27940"/>
    <w:pPr>
      <w:tabs>
        <w:tab w:val="left" w:pos="720"/>
      </w:tabs>
      <w:spacing w:after="240"/>
      <w:ind w:left="720" w:hanging="360"/>
      <w:jc w:val="both"/>
    </w:pPr>
    <w:rPr>
      <w:rFonts w:ascii="Perpetua Std" w:hAnsi="Perpetua Std"/>
      <w:color w:val="000000"/>
      <w:sz w:val="24"/>
    </w:rPr>
  </w:style>
  <w:style w:type="paragraph" w:customStyle="1" w:styleId="HD">
    <w:name w:val="HD"/>
    <w:rsid w:val="00F27940"/>
    <w:pPr>
      <w:suppressAutoHyphens/>
      <w:spacing w:before="120"/>
      <w:jc w:val="center"/>
    </w:pPr>
    <w:rPr>
      <w:rFonts w:ascii="Helvetica LT Std" w:hAnsi="Helvetica LT Std"/>
      <w:sz w:val="26"/>
      <w:szCs w:val="18"/>
    </w:rPr>
  </w:style>
  <w:style w:type="paragraph" w:customStyle="1" w:styleId="PN">
    <w:name w:val="PN"/>
    <w:rsid w:val="00F27940"/>
    <w:pPr>
      <w:spacing w:after="240"/>
      <w:ind w:left="720" w:firstLine="288"/>
      <w:jc w:val="both"/>
    </w:pPr>
    <w:rPr>
      <w:rFonts w:ascii="Perpetua Std" w:eastAsia="MS Mincho" w:hAnsi="Perpetua Std"/>
      <w:color w:val="000000"/>
    </w:rPr>
  </w:style>
  <w:style w:type="paragraph" w:customStyle="1" w:styleId="PB">
    <w:name w:val="PB"/>
    <w:rsid w:val="00F27940"/>
    <w:pPr>
      <w:spacing w:after="240"/>
      <w:jc w:val="both"/>
    </w:pPr>
    <w:rPr>
      <w:rFonts w:ascii="Perpetua Std" w:hAnsi="Perpetua Std"/>
      <w:color w:val="000000"/>
      <w:sz w:val="24"/>
    </w:rPr>
  </w:style>
  <w:style w:type="paragraph" w:customStyle="1" w:styleId="PQ">
    <w:name w:val="PQ"/>
    <w:link w:val="PQChar"/>
    <w:rsid w:val="00F27940"/>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F27940"/>
    <w:rPr>
      <w:rFonts w:ascii="Adobe Caslon Pro" w:hAnsi="Adobe Caslon Pro"/>
      <w:color w:val="000000"/>
      <w:sz w:val="14"/>
    </w:rPr>
  </w:style>
  <w:style w:type="paragraph" w:customStyle="1" w:styleId="PF">
    <w:name w:val="PF"/>
    <w:rsid w:val="00F27940"/>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F27940"/>
    <w:pPr>
      <w:spacing w:before="120" w:after="120"/>
      <w:jc w:val="center"/>
    </w:pPr>
    <w:rPr>
      <w:rFonts w:ascii="Helvetica LT Std" w:hAnsi="Helvetica LT Std"/>
      <w:sz w:val="24"/>
    </w:rPr>
  </w:style>
  <w:style w:type="table" w:styleId="TableGrid">
    <w:name w:val="Table Grid"/>
    <w:basedOn w:val="TableNormal"/>
    <w:rsid w:val="00F2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F27940"/>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F27940"/>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F27940"/>
    <w:pPr>
      <w:spacing w:before="144"/>
      <w:jc w:val="both"/>
    </w:pPr>
    <w:rPr>
      <w:noProof/>
    </w:rPr>
  </w:style>
  <w:style w:type="paragraph" w:customStyle="1" w:styleId="PD">
    <w:name w:val="PD"/>
    <w:rsid w:val="00F27940"/>
    <w:pPr>
      <w:spacing w:after="240"/>
      <w:ind w:left="720" w:firstLine="288"/>
      <w:jc w:val="both"/>
    </w:pPr>
    <w:rPr>
      <w:rFonts w:ascii="Perpetua Std" w:hAnsi="Perpetua Std"/>
      <w:color w:val="000000"/>
      <w:sz w:val="24"/>
    </w:rPr>
  </w:style>
  <w:style w:type="paragraph" w:customStyle="1" w:styleId="PE">
    <w:name w:val="PE"/>
    <w:rsid w:val="00F27940"/>
    <w:pPr>
      <w:spacing w:after="240"/>
      <w:ind w:left="720"/>
      <w:jc w:val="both"/>
    </w:pPr>
    <w:rPr>
      <w:rFonts w:ascii="Perpetua Std" w:hAnsi="Perpetua Std"/>
      <w:color w:val="000000"/>
      <w:sz w:val="24"/>
    </w:rPr>
  </w:style>
  <w:style w:type="paragraph" w:customStyle="1" w:styleId="PG">
    <w:name w:val="PG"/>
    <w:rsid w:val="00F27940"/>
    <w:pPr>
      <w:spacing w:after="240"/>
      <w:ind w:left="360"/>
      <w:jc w:val="both"/>
    </w:pPr>
    <w:rPr>
      <w:rFonts w:ascii="Perpetua Std" w:hAnsi="Perpetua Std"/>
      <w:color w:val="000000"/>
      <w:sz w:val="24"/>
    </w:rPr>
  </w:style>
  <w:style w:type="paragraph" w:customStyle="1" w:styleId="PH">
    <w:name w:val="PH"/>
    <w:rsid w:val="00F27940"/>
    <w:pPr>
      <w:tabs>
        <w:tab w:val="left" w:pos="360"/>
      </w:tabs>
      <w:spacing w:after="240"/>
      <w:ind w:left="360" w:hanging="360"/>
      <w:jc w:val="both"/>
    </w:pPr>
    <w:rPr>
      <w:rFonts w:ascii="Perpetua Std" w:hAnsi="Perpetua Std"/>
      <w:color w:val="000000"/>
      <w:sz w:val="24"/>
    </w:rPr>
  </w:style>
  <w:style w:type="paragraph" w:customStyle="1" w:styleId="PI">
    <w:name w:val="PI"/>
    <w:rsid w:val="00F27940"/>
    <w:pPr>
      <w:spacing w:after="240"/>
      <w:ind w:left="360" w:hanging="360"/>
      <w:jc w:val="both"/>
    </w:pPr>
    <w:rPr>
      <w:rFonts w:ascii="Perpetua Std" w:hAnsi="Perpetua Std"/>
      <w:color w:val="000000"/>
      <w:sz w:val="24"/>
    </w:rPr>
  </w:style>
  <w:style w:type="paragraph" w:customStyle="1" w:styleId="PK">
    <w:name w:val="PK"/>
    <w:rsid w:val="00F27940"/>
    <w:pPr>
      <w:spacing w:after="240"/>
      <w:ind w:left="360" w:firstLine="288"/>
      <w:jc w:val="both"/>
    </w:pPr>
    <w:rPr>
      <w:rFonts w:ascii="Perpetua Std" w:hAnsi="Perpetua Std"/>
      <w:color w:val="000000"/>
      <w:sz w:val="24"/>
    </w:rPr>
  </w:style>
  <w:style w:type="paragraph" w:customStyle="1" w:styleId="PL">
    <w:name w:val="PL"/>
    <w:rsid w:val="00F27940"/>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F27940"/>
    <w:pPr>
      <w:spacing w:after="240"/>
      <w:ind w:left="432" w:right="432" w:firstLine="432"/>
      <w:jc w:val="both"/>
    </w:pPr>
    <w:rPr>
      <w:rFonts w:ascii="Minion Pro" w:hAnsi="Minion Pro"/>
    </w:rPr>
  </w:style>
  <w:style w:type="paragraph" w:customStyle="1" w:styleId="TOC">
    <w:name w:val="TOC"/>
    <w:autoRedefine/>
    <w:rsid w:val="00F27940"/>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F27940"/>
    <w:pPr>
      <w:tabs>
        <w:tab w:val="clear" w:pos="1440"/>
        <w:tab w:val="clear" w:pos="8640"/>
        <w:tab w:val="left" w:pos="240"/>
        <w:tab w:val="left" w:pos="480"/>
        <w:tab w:val="right" w:leader="dot" w:pos="4680"/>
      </w:tabs>
      <w:ind w:left="0" w:firstLine="0"/>
    </w:pPr>
    <w:rPr>
      <w:sz w:val="22"/>
    </w:rPr>
  </w:style>
  <w:style w:type="paragraph" w:customStyle="1" w:styleId="PP">
    <w:name w:val="PP"/>
    <w:rsid w:val="00F27940"/>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F27940"/>
    <w:pPr>
      <w:spacing w:after="240"/>
      <w:jc w:val="center"/>
    </w:pPr>
    <w:rPr>
      <w:rFonts w:ascii="Helvetica LT Std" w:hAnsi="Helvetica LT Std"/>
      <w:b/>
      <w:caps/>
      <w:color w:val="000000"/>
      <w:sz w:val="36"/>
      <w:szCs w:val="32"/>
    </w:rPr>
  </w:style>
  <w:style w:type="paragraph" w:customStyle="1" w:styleId="HB">
    <w:name w:val="HB"/>
    <w:rsid w:val="00F27940"/>
    <w:pPr>
      <w:spacing w:before="120" w:after="240"/>
      <w:jc w:val="center"/>
    </w:pPr>
    <w:rPr>
      <w:rFonts w:ascii="Helvetica LT Std" w:hAnsi="Helvetica LT Std"/>
      <w:b/>
      <w:color w:val="5F5F5F"/>
      <w:w w:val="105"/>
      <w:sz w:val="32"/>
    </w:rPr>
  </w:style>
  <w:style w:type="paragraph" w:customStyle="1" w:styleId="HC">
    <w:name w:val="HC"/>
    <w:autoRedefine/>
    <w:rsid w:val="00F27940"/>
    <w:pPr>
      <w:tabs>
        <w:tab w:val="left" w:pos="284"/>
      </w:tabs>
      <w:spacing w:before="120" w:after="120"/>
      <w:jc w:val="center"/>
    </w:pPr>
    <w:rPr>
      <w:rFonts w:ascii="Helvetica LT Std" w:hAnsi="Helvetica LT Std"/>
      <w:b/>
      <w:color w:val="000000"/>
      <w:w w:val="110"/>
      <w:sz w:val="26"/>
    </w:rPr>
  </w:style>
  <w:style w:type="paragraph" w:customStyle="1" w:styleId="PR">
    <w:name w:val="PR"/>
    <w:rsid w:val="00F27940"/>
    <w:pPr>
      <w:spacing w:after="240"/>
      <w:ind w:left="360" w:firstLine="288"/>
      <w:jc w:val="both"/>
    </w:pPr>
    <w:rPr>
      <w:rFonts w:ascii="Adobe Caslon Pro" w:hAnsi="Adobe Caslon Pro"/>
      <w:color w:val="000000"/>
      <w:sz w:val="14"/>
    </w:rPr>
  </w:style>
  <w:style w:type="paragraph" w:customStyle="1" w:styleId="PO">
    <w:name w:val="PO"/>
    <w:rsid w:val="00F27940"/>
    <w:pPr>
      <w:spacing w:after="240"/>
      <w:jc w:val="both"/>
    </w:pPr>
    <w:rPr>
      <w:rFonts w:ascii="Perpetua Std" w:hAnsi="Perpetua Std"/>
      <w:color w:val="000000"/>
      <w:w w:val="95"/>
      <w:szCs w:val="16"/>
    </w:rPr>
  </w:style>
  <w:style w:type="paragraph" w:customStyle="1" w:styleId="GUIDEX">
    <w:name w:val="GUIDEX"/>
    <w:rsid w:val="00F27940"/>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F27940"/>
    <w:pPr>
      <w:tabs>
        <w:tab w:val="clear" w:pos="240"/>
        <w:tab w:val="clear" w:pos="480"/>
        <w:tab w:val="clear" w:pos="720"/>
        <w:tab w:val="right" w:pos="4680"/>
      </w:tabs>
    </w:pPr>
  </w:style>
  <w:style w:type="paragraph" w:customStyle="1" w:styleId="PCB">
    <w:name w:val="PCB"/>
    <w:autoRedefine/>
    <w:rsid w:val="00F27940"/>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F27940"/>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F27940"/>
    <w:rPr>
      <w:rFonts w:ascii="Perpetua Std" w:hAnsi="Perpetua Std"/>
    </w:rPr>
  </w:style>
  <w:style w:type="paragraph" w:styleId="NoSpacing">
    <w:name w:val="No Spacing"/>
    <w:qFormat/>
    <w:rsid w:val="00F27940"/>
    <w:rPr>
      <w:rFonts w:ascii="Perpetua" w:hAnsi="Perpetua"/>
    </w:rPr>
  </w:style>
  <w:style w:type="paragraph" w:customStyle="1" w:styleId="PCA">
    <w:name w:val="PCA"/>
    <w:rsid w:val="00F27940"/>
    <w:pPr>
      <w:numPr>
        <w:numId w:val="29"/>
      </w:numPr>
      <w:tabs>
        <w:tab w:val="left" w:pos="720"/>
      </w:tabs>
      <w:spacing w:after="240"/>
      <w:jc w:val="both"/>
    </w:pPr>
    <w:rPr>
      <w:rFonts w:ascii="Perpetua Std" w:hAnsi="Perpetua Std"/>
      <w:sz w:val="24"/>
    </w:rPr>
  </w:style>
  <w:style w:type="paragraph" w:customStyle="1" w:styleId="PHB">
    <w:name w:val="PHB"/>
    <w:rsid w:val="00F27940"/>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F27940"/>
    <w:rPr>
      <w:rFonts w:ascii="Perpetua Std" w:eastAsia="MS Mincho" w:hAnsi="Perpetua Std"/>
      <w:color w:val="000000"/>
      <w:sz w:val="22"/>
    </w:rPr>
  </w:style>
  <w:style w:type="paragraph" w:styleId="EndnoteText">
    <w:name w:val="endnote text"/>
    <w:basedOn w:val="Normal"/>
    <w:link w:val="EndnoteTextChar"/>
    <w:semiHidden/>
    <w:unhideWhenUsed/>
    <w:rsid w:val="00B679EC"/>
  </w:style>
  <w:style w:type="character" w:customStyle="1" w:styleId="EndnoteTextChar">
    <w:name w:val="Endnote Text Char"/>
    <w:basedOn w:val="DefaultParagraphFont"/>
    <w:link w:val="EndnoteText"/>
    <w:semiHidden/>
    <w:rsid w:val="00B679EC"/>
    <w:rPr>
      <w:rFonts w:ascii="Perpetua Std" w:hAnsi="Perpetua Std"/>
    </w:rPr>
  </w:style>
  <w:style w:type="character" w:styleId="EndnoteReference">
    <w:name w:val="endnote reference"/>
    <w:basedOn w:val="DefaultParagraphFont"/>
    <w:semiHidden/>
    <w:unhideWhenUsed/>
    <w:rsid w:val="00B67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5019-81EB-413A-B1CB-45D0290A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8522. When is an individual taxpayer entitled to deduct interest?</vt:lpstr>
    </vt:vector>
  </TitlesOfParts>
  <Company>Summit Business Media</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8522. When is an individual taxpayer entitled to deduct interest?</dc:title>
  <dc:creator>Alexis Long</dc:creator>
  <cp:lastModifiedBy>rcline</cp:lastModifiedBy>
  <cp:revision>2</cp:revision>
  <dcterms:created xsi:type="dcterms:W3CDTF">2014-08-20T16:43:00Z</dcterms:created>
  <dcterms:modified xsi:type="dcterms:W3CDTF">2014-08-20T16:43:00Z</dcterms:modified>
</cp:coreProperties>
</file>