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17" w:rsidRPr="00723717" w:rsidRDefault="00723717" w:rsidP="00097038">
      <w:pPr>
        <w:pStyle w:val="PA"/>
        <w:rPr>
          <w:b/>
        </w:rPr>
      </w:pPr>
      <w:bookmarkStart w:id="0" w:name="_GoBack"/>
      <w:bookmarkEnd w:id="0"/>
      <w:r w:rsidRPr="00723717">
        <w:rPr>
          <w:b/>
        </w:rPr>
        <w:t xml:space="preserve">8521.  </w:t>
      </w:r>
      <w:r w:rsidR="000457A5">
        <w:rPr>
          <w:b/>
        </w:rPr>
        <w:t xml:space="preserve">Are the itemized deductions of </w:t>
      </w:r>
      <w:r w:rsidRPr="00723717">
        <w:rPr>
          <w:b/>
        </w:rPr>
        <w:t xml:space="preserve">high-income taxpayers </w:t>
      </w:r>
      <w:r w:rsidR="000457A5">
        <w:rPr>
          <w:b/>
        </w:rPr>
        <w:t>subject to phase-out</w:t>
      </w:r>
      <w:r w:rsidRPr="00723717">
        <w:rPr>
          <w:b/>
        </w:rPr>
        <w:t>?</w:t>
      </w:r>
    </w:p>
    <w:p w:rsidR="00723717" w:rsidRDefault="00723717" w:rsidP="00097038">
      <w:pPr>
        <w:pStyle w:val="PA"/>
      </w:pPr>
    </w:p>
    <w:p w:rsidR="00427B74" w:rsidRPr="00532B64" w:rsidRDefault="000457A5" w:rsidP="00097038">
      <w:pPr>
        <w:pStyle w:val="PA"/>
      </w:pPr>
      <w:r>
        <w:t>Yes.  T</w:t>
      </w:r>
      <w:r w:rsidR="00835C56" w:rsidRPr="00532B64">
        <w:t>he aggregate of most itemized deductions is reduced dollar-for-dollar by the lesser of (1) 3 percent of the individual’s adjusted gross income that exceeds $</w:t>
      </w:r>
      <w:r w:rsidR="00AB1F65">
        <w:t>254,200</w:t>
      </w:r>
      <w:r>
        <w:t xml:space="preserve"> for a single filer</w:t>
      </w:r>
      <w:r w:rsidR="00835C56" w:rsidRPr="00532B64">
        <w:t xml:space="preserve"> ($</w:t>
      </w:r>
      <w:r w:rsidR="00AB1F65">
        <w:t>305,050</w:t>
      </w:r>
      <w:r w:rsidR="00835C56" w:rsidRPr="00532B64">
        <w:t xml:space="preserve"> in the case of a married taxpayer filing jointly, $</w:t>
      </w:r>
      <w:r w:rsidR="00AB1F65">
        <w:t>279,650</w:t>
      </w:r>
      <w:r w:rsidR="00835C56" w:rsidRPr="00532B64">
        <w:t xml:space="preserve"> for heads of household, and $</w:t>
      </w:r>
      <w:r w:rsidR="00AB1F65">
        <w:t>152,525</w:t>
      </w:r>
      <w:r w:rsidR="00835C56" w:rsidRPr="00532B64">
        <w:t xml:space="preserve"> for married taxpayers filing separately) or (2) 80 percent of the amount of such itemized deductions otherwise allowable for the taxable year.</w:t>
      </w:r>
      <w:r w:rsidR="00835C56" w:rsidRPr="00532B64">
        <w:rPr>
          <w:vertAlign w:val="superscript"/>
        </w:rPr>
        <w:footnoteReference w:id="1"/>
      </w:r>
      <w:r w:rsidR="00835C56" w:rsidRPr="00532B64">
        <w:t xml:space="preserve"> The threshold income levels for determining the </w:t>
      </w:r>
      <w:proofErr w:type="spellStart"/>
      <w:r w:rsidR="00835C56" w:rsidRPr="00532B64">
        <w:t>phaseout</w:t>
      </w:r>
      <w:proofErr w:type="spellEnd"/>
      <w:r w:rsidR="00835C56" w:rsidRPr="00532B64">
        <w:t xml:space="preserve"> are adjusted annually for inflation.</w:t>
      </w:r>
      <w:r w:rsidR="00835C56" w:rsidRPr="00532B64">
        <w:rPr>
          <w:vertAlign w:val="superscript"/>
        </w:rPr>
        <w:footnoteReference w:id="2"/>
      </w:r>
    </w:p>
    <w:p w:rsidR="00427B74" w:rsidRPr="00532B64" w:rsidRDefault="005B53F2" w:rsidP="00097038">
      <w:pPr>
        <w:pStyle w:val="PA"/>
      </w:pPr>
      <w:r w:rsidRPr="00532B64">
        <w:t xml:space="preserve">The </w:t>
      </w:r>
      <w:r w:rsidR="0095488D" w:rsidRPr="00532B64">
        <w:t>phase-out</w:t>
      </w:r>
      <w:r w:rsidRPr="00532B64">
        <w:t xml:space="preserve"> of the value of</w:t>
      </w:r>
      <w:r w:rsidR="00835C56" w:rsidRPr="00532B64">
        <w:t xml:space="preserve"> itemized deductions is not applicable to medical expenses deductible under IRC Section 213, investment interest deductible under IRC Section 163(d), or certain casualty loss deductions.</w:t>
      </w:r>
      <w:r w:rsidR="00835C56" w:rsidRPr="00532B64">
        <w:rPr>
          <w:vertAlign w:val="superscript"/>
        </w:rPr>
        <w:footnoteReference w:id="3"/>
      </w:r>
      <w:r w:rsidR="00835C56" w:rsidRPr="00532B64">
        <w:t xml:space="preserve"> The limitation also is not applicable to estates and trusts.</w:t>
      </w:r>
      <w:r w:rsidR="00835C56" w:rsidRPr="00532B64">
        <w:rPr>
          <w:vertAlign w:val="superscript"/>
        </w:rPr>
        <w:footnoteReference w:id="4"/>
      </w:r>
      <w:r w:rsidR="00835C56" w:rsidRPr="00532B64">
        <w:t xml:space="preserve"> For purposes of certain other calculations, such as the limits on deduction of charitable contributions or the 2</w:t>
      </w:r>
      <w:r w:rsidR="00664BF0" w:rsidRPr="00532B64">
        <w:t xml:space="preserve"> percent</w:t>
      </w:r>
      <w:r w:rsidR="00835C56" w:rsidRPr="00532B64">
        <w:t xml:space="preserve"> floor on miscellaneous itemized deductions, the limitations on each separate category of deductions are applied </w:t>
      </w:r>
      <w:r w:rsidR="00835C56" w:rsidRPr="00532B64">
        <w:rPr>
          <w:i/>
          <w:iCs/>
        </w:rPr>
        <w:t>before</w:t>
      </w:r>
      <w:r w:rsidR="00835C56" w:rsidRPr="00532B64">
        <w:t xml:space="preserve"> the overall ceiling on itemized deductions is applied.</w:t>
      </w:r>
      <w:r w:rsidR="00835C56" w:rsidRPr="00532B64">
        <w:rPr>
          <w:vertAlign w:val="superscript"/>
        </w:rPr>
        <w:footnoteReference w:id="5"/>
      </w:r>
      <w:r w:rsidR="00835C56" w:rsidRPr="00532B64">
        <w:t xml:space="preserve"> The deduction limitation is not taken into account in the calculation of the alternative minimum tax.</w:t>
      </w:r>
      <w:r w:rsidR="00835C56" w:rsidRPr="00532B64">
        <w:rPr>
          <w:vertAlign w:val="superscript"/>
        </w:rPr>
        <w:footnoteReference w:id="6"/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CC" w:rsidRDefault="009A02CC" w:rsidP="006F074C">
      <w:r>
        <w:separator/>
      </w:r>
    </w:p>
  </w:endnote>
  <w:endnote w:type="continuationSeparator" w:id="0">
    <w:p w:rsidR="009A02CC" w:rsidRDefault="009A02CC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CC" w:rsidRDefault="009A02CC" w:rsidP="006F074C">
      <w:r>
        <w:separator/>
      </w:r>
    </w:p>
  </w:footnote>
  <w:footnote w:type="continuationSeparator" w:id="0">
    <w:p w:rsidR="009A02CC" w:rsidRDefault="009A02CC" w:rsidP="006F074C">
      <w:r>
        <w:continuationSeparator/>
      </w:r>
    </w:p>
  </w:footnote>
  <w:footnote w:id="1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 xml:space="preserve">IRC Sec. </w:t>
      </w:r>
      <w:proofErr w:type="gramStart"/>
      <w:r w:rsidR="00FE5D9D" w:rsidRPr="00FA74D7">
        <w:t>68(a</w:t>
      </w:r>
      <w:proofErr w:type="gramEnd"/>
      <w:r w:rsidR="00FE5D9D" w:rsidRPr="00FA74D7">
        <w:t>).</w:t>
      </w:r>
    </w:p>
  </w:footnote>
  <w:footnote w:id="2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 xml:space="preserve">IRC Sec. 68(b); </w:t>
      </w:r>
      <w:r w:rsidR="00FE5D9D">
        <w:t>as amended by ATRA, Sec. 101(2</w:t>
      </w:r>
      <w:proofErr w:type="gramStart"/>
      <w:r w:rsidR="00FE5D9D">
        <w:t>)(</w:t>
      </w:r>
      <w:proofErr w:type="gramEnd"/>
      <w:r w:rsidR="00FE5D9D">
        <w:t xml:space="preserve">b); </w:t>
      </w:r>
      <w:r w:rsidR="00FE5D9D" w:rsidRPr="00FA74D7">
        <w:t>Rev. Proc. 2008-66, 2008-45 IRB 1107</w:t>
      </w:r>
      <w:r w:rsidR="00AB1F65">
        <w:t>; Rev. Proc. 2013-35, 2013-47 IRB 537</w:t>
      </w:r>
      <w:r w:rsidR="00FE5D9D" w:rsidRPr="00FA74D7">
        <w:t>.</w:t>
      </w:r>
    </w:p>
  </w:footnote>
  <w:footnote w:id="3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 xml:space="preserve">IRC Sec. </w:t>
      </w:r>
      <w:proofErr w:type="gramStart"/>
      <w:r w:rsidR="00FE5D9D" w:rsidRPr="00FA74D7">
        <w:t>68(c</w:t>
      </w:r>
      <w:proofErr w:type="gramEnd"/>
      <w:r w:rsidR="00FE5D9D" w:rsidRPr="00FA74D7">
        <w:t>).</w:t>
      </w:r>
    </w:p>
  </w:footnote>
  <w:footnote w:id="4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 xml:space="preserve">IRC Sec. </w:t>
      </w:r>
      <w:proofErr w:type="gramStart"/>
      <w:r w:rsidR="00FE5D9D" w:rsidRPr="00FA74D7">
        <w:t>68(e</w:t>
      </w:r>
      <w:proofErr w:type="gramEnd"/>
      <w:r w:rsidR="00FE5D9D" w:rsidRPr="00FA74D7">
        <w:t>).</w:t>
      </w:r>
    </w:p>
  </w:footnote>
  <w:footnote w:id="5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 xml:space="preserve">IRC Sec. </w:t>
      </w:r>
      <w:proofErr w:type="gramStart"/>
      <w:r w:rsidR="00FE5D9D" w:rsidRPr="00FA74D7">
        <w:t>68(d</w:t>
      </w:r>
      <w:proofErr w:type="gramEnd"/>
      <w:r w:rsidR="00FE5D9D" w:rsidRPr="00FA74D7">
        <w:t>).</w:t>
      </w:r>
    </w:p>
  </w:footnote>
  <w:footnote w:id="6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>IRC Sec. 56(b</w:t>
      </w:r>
      <w:proofErr w:type="gramStart"/>
      <w:r w:rsidR="00FE5D9D" w:rsidRPr="00FA74D7">
        <w:t>)(</w:t>
      </w:r>
      <w:proofErr w:type="gramEnd"/>
      <w:r w:rsidR="00FE5D9D" w:rsidRPr="00FA74D7">
        <w:t>1)(F).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57A5"/>
    <w:rsid w:val="000465CA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B58F5"/>
    <w:rsid w:val="002D19C7"/>
    <w:rsid w:val="002E46AF"/>
    <w:rsid w:val="002E4BFB"/>
    <w:rsid w:val="002E63BD"/>
    <w:rsid w:val="002F6745"/>
    <w:rsid w:val="00310C38"/>
    <w:rsid w:val="0032167A"/>
    <w:rsid w:val="00323E1D"/>
    <w:rsid w:val="00327BDB"/>
    <w:rsid w:val="00355BC4"/>
    <w:rsid w:val="00360557"/>
    <w:rsid w:val="00377919"/>
    <w:rsid w:val="00382EB3"/>
    <w:rsid w:val="003B1DF7"/>
    <w:rsid w:val="003B450F"/>
    <w:rsid w:val="003B65D8"/>
    <w:rsid w:val="003C1548"/>
    <w:rsid w:val="003F00D7"/>
    <w:rsid w:val="003F05E5"/>
    <w:rsid w:val="004167F4"/>
    <w:rsid w:val="00427B74"/>
    <w:rsid w:val="00435B94"/>
    <w:rsid w:val="00456493"/>
    <w:rsid w:val="00474C65"/>
    <w:rsid w:val="00484642"/>
    <w:rsid w:val="00487A39"/>
    <w:rsid w:val="004C263D"/>
    <w:rsid w:val="004C5F26"/>
    <w:rsid w:val="004E7836"/>
    <w:rsid w:val="00501B90"/>
    <w:rsid w:val="00511E10"/>
    <w:rsid w:val="00521FCB"/>
    <w:rsid w:val="005223B9"/>
    <w:rsid w:val="00532B64"/>
    <w:rsid w:val="0053431C"/>
    <w:rsid w:val="005610E5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24512"/>
    <w:rsid w:val="00637081"/>
    <w:rsid w:val="00664BF0"/>
    <w:rsid w:val="00667AE6"/>
    <w:rsid w:val="0068069B"/>
    <w:rsid w:val="00695FA3"/>
    <w:rsid w:val="006B08F4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3717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90DA0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331C5"/>
    <w:rsid w:val="00944E4E"/>
    <w:rsid w:val="0095488D"/>
    <w:rsid w:val="00957231"/>
    <w:rsid w:val="009626DD"/>
    <w:rsid w:val="0097483E"/>
    <w:rsid w:val="009938E4"/>
    <w:rsid w:val="009A02CC"/>
    <w:rsid w:val="009C73DD"/>
    <w:rsid w:val="009F313A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B1F65"/>
    <w:rsid w:val="00B15D08"/>
    <w:rsid w:val="00B20CBB"/>
    <w:rsid w:val="00B47F6C"/>
    <w:rsid w:val="00B97105"/>
    <w:rsid w:val="00BA22F5"/>
    <w:rsid w:val="00BC19F7"/>
    <w:rsid w:val="00BC5792"/>
    <w:rsid w:val="00BC6ACC"/>
    <w:rsid w:val="00BC6F51"/>
    <w:rsid w:val="00BE21B5"/>
    <w:rsid w:val="00BE317F"/>
    <w:rsid w:val="00BF4BC0"/>
    <w:rsid w:val="00C15AF0"/>
    <w:rsid w:val="00C1615A"/>
    <w:rsid w:val="00C3032D"/>
    <w:rsid w:val="00C360BE"/>
    <w:rsid w:val="00C5496F"/>
    <w:rsid w:val="00C64FEC"/>
    <w:rsid w:val="00C7768E"/>
    <w:rsid w:val="00C92346"/>
    <w:rsid w:val="00CB0AF1"/>
    <w:rsid w:val="00CD22F0"/>
    <w:rsid w:val="00CF5092"/>
    <w:rsid w:val="00D0195D"/>
    <w:rsid w:val="00D418E3"/>
    <w:rsid w:val="00D51611"/>
    <w:rsid w:val="00D64980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66D50"/>
    <w:rsid w:val="00F96BEC"/>
    <w:rsid w:val="00F9714F"/>
    <w:rsid w:val="00FA417E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53431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5343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34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3431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53431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53431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53431C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53431C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53431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53431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53431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53431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53431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53431C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53431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53431C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5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43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5343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53431C"/>
    <w:pPr>
      <w:spacing w:before="144"/>
      <w:jc w:val="both"/>
    </w:pPr>
    <w:rPr>
      <w:noProof/>
    </w:rPr>
  </w:style>
  <w:style w:type="paragraph" w:customStyle="1" w:styleId="PD">
    <w:name w:val="PD"/>
    <w:rsid w:val="0053431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53431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53431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53431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53431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53431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53431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53431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53431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53431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53431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53431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53431C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53431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53431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53431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53431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53431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53431C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53431C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53431C"/>
    <w:rPr>
      <w:rFonts w:ascii="Perpetua Std" w:hAnsi="Perpetua Std"/>
    </w:rPr>
  </w:style>
  <w:style w:type="paragraph" w:styleId="NoSpacing">
    <w:name w:val="No Spacing"/>
    <w:qFormat/>
    <w:rsid w:val="0053431C"/>
    <w:rPr>
      <w:rFonts w:ascii="Perpetua" w:hAnsi="Perpetua"/>
    </w:rPr>
  </w:style>
  <w:style w:type="paragraph" w:customStyle="1" w:styleId="PCA">
    <w:name w:val="PCA"/>
    <w:rsid w:val="0053431C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53431C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53431C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53431C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5343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34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3431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53431C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53431C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53431C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53431C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53431C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53431C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53431C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53431C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53431C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53431C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53431C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53431C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5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43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5343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53431C"/>
    <w:pPr>
      <w:spacing w:before="144"/>
      <w:jc w:val="both"/>
    </w:pPr>
    <w:rPr>
      <w:noProof/>
    </w:rPr>
  </w:style>
  <w:style w:type="paragraph" w:customStyle="1" w:styleId="PD">
    <w:name w:val="PD"/>
    <w:rsid w:val="0053431C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53431C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53431C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53431C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53431C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53431C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53431C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53431C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53431C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53431C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53431C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53431C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53431C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53431C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53431C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53431C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53431C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53431C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53431C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53431C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53431C"/>
    <w:rPr>
      <w:rFonts w:ascii="Perpetua Std" w:hAnsi="Perpetua Std"/>
    </w:rPr>
  </w:style>
  <w:style w:type="paragraph" w:styleId="NoSpacing">
    <w:name w:val="No Spacing"/>
    <w:qFormat/>
    <w:rsid w:val="0053431C"/>
    <w:rPr>
      <w:rFonts w:ascii="Perpetua" w:hAnsi="Perpetua"/>
    </w:rPr>
  </w:style>
  <w:style w:type="paragraph" w:customStyle="1" w:styleId="PCA">
    <w:name w:val="PCA"/>
    <w:rsid w:val="0053431C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53431C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53431C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8521. What rules apply to limit the ability of high-income taxpayers to claim itemized deductions?</vt:lpstr>
    </vt:vector>
  </TitlesOfParts>
  <Company>Summit Business Media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8521. What rules apply to limit the ability of high-income taxpayers to claim itemized deductions?</dc:title>
  <dc:creator>Alexis Long</dc:creator>
  <cp:lastModifiedBy>rcline</cp:lastModifiedBy>
  <cp:revision>2</cp:revision>
  <dcterms:created xsi:type="dcterms:W3CDTF">2014-08-20T15:08:00Z</dcterms:created>
  <dcterms:modified xsi:type="dcterms:W3CDTF">2014-08-20T15:08:00Z</dcterms:modified>
</cp:coreProperties>
</file>