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2F" w:rsidRDefault="00833C2F" w:rsidP="007D6D13">
      <w:pPr>
        <w:pStyle w:val="PA"/>
        <w:suppressAutoHyphens/>
        <w:spacing w:after="144"/>
        <w:rPr>
          <w:szCs w:val="24"/>
        </w:rPr>
      </w:pPr>
    </w:p>
    <w:p w:rsidR="00833C2F" w:rsidRPr="00833C2F" w:rsidRDefault="00833C2F" w:rsidP="007D6D13">
      <w:pPr>
        <w:pStyle w:val="PA"/>
        <w:suppressAutoHyphens/>
        <w:spacing w:after="144"/>
        <w:rPr>
          <w:b/>
          <w:szCs w:val="24"/>
        </w:rPr>
      </w:pPr>
      <w:r w:rsidRPr="00833C2F">
        <w:rPr>
          <w:b/>
          <w:szCs w:val="24"/>
        </w:rPr>
        <w:t xml:space="preserve">8514.  </w:t>
      </w:r>
      <w:r w:rsidR="00647754">
        <w:rPr>
          <w:b/>
          <w:szCs w:val="24"/>
        </w:rPr>
        <w:t xml:space="preserve"> </w:t>
      </w:r>
      <w:r w:rsidR="00052FB2">
        <w:rPr>
          <w:b/>
          <w:szCs w:val="24"/>
        </w:rPr>
        <w:t xml:space="preserve">Who is entitled to </w:t>
      </w:r>
      <w:r w:rsidRPr="00833C2F">
        <w:rPr>
          <w:b/>
          <w:szCs w:val="24"/>
        </w:rPr>
        <w:t>the dependency exemption for qualifying children when the parents are divorced or have never been married?</w:t>
      </w:r>
    </w:p>
    <w:p w:rsidR="00197132" w:rsidRPr="00532B64" w:rsidRDefault="00052FB2" w:rsidP="007D6D13">
      <w:pPr>
        <w:pStyle w:val="PA"/>
        <w:suppressAutoHyphens/>
        <w:spacing w:after="144"/>
        <w:rPr>
          <w:szCs w:val="24"/>
        </w:rPr>
      </w:pPr>
      <w:r>
        <w:rPr>
          <w:szCs w:val="24"/>
        </w:rPr>
        <w:t>F</w:t>
      </w:r>
      <w:r w:rsidR="004600C9">
        <w:rPr>
          <w:szCs w:val="24"/>
        </w:rPr>
        <w:t>or purposes of determining if a</w:t>
      </w:r>
      <w:r>
        <w:rPr>
          <w:szCs w:val="24"/>
        </w:rPr>
        <w:t xml:space="preserve"> parent is entitled to the dependency exemption for qualifying children, it makes no difference whether the parents were divorced or had never been married.</w:t>
      </w:r>
      <w:r>
        <w:rPr>
          <w:rStyle w:val="EndnoteReference"/>
          <w:szCs w:val="24"/>
        </w:rPr>
        <w:endnoteReference w:id="1"/>
      </w:r>
      <w:r>
        <w:rPr>
          <w:szCs w:val="24"/>
        </w:rPr>
        <w:t xml:space="preserve">  As a general rule, the custodial parent is entitled to claim the dependency exemption.  </w:t>
      </w:r>
      <w:r w:rsidR="00160193">
        <w:rPr>
          <w:szCs w:val="24"/>
        </w:rPr>
        <w:t>According to the Code, t</w:t>
      </w:r>
      <w:r>
        <w:rPr>
          <w:szCs w:val="24"/>
        </w:rPr>
        <w:t xml:space="preserve">he parent having custody for the greater portion of the year </w:t>
      </w:r>
      <w:r w:rsidR="00FD4EB6">
        <w:rPr>
          <w:szCs w:val="24"/>
        </w:rPr>
        <w:t>is considered to be the “custodial parent.”</w:t>
      </w:r>
      <w:r w:rsidR="00FD4EB6">
        <w:rPr>
          <w:rStyle w:val="EndnoteReference"/>
          <w:szCs w:val="24"/>
        </w:rPr>
        <w:endnoteReference w:id="2"/>
      </w:r>
      <w:r w:rsidR="00FD4EB6">
        <w:rPr>
          <w:szCs w:val="24"/>
        </w:rPr>
        <w:t xml:space="preserve">  </w:t>
      </w:r>
      <w:r w:rsidR="007D6D13" w:rsidRPr="00532B64">
        <w:rPr>
          <w:szCs w:val="24"/>
        </w:rPr>
        <w:t xml:space="preserve"> </w:t>
      </w:r>
      <w:r w:rsidR="00FD4EB6">
        <w:rPr>
          <w:szCs w:val="24"/>
        </w:rPr>
        <w:t>However, if both parents have custody for equal amount</w:t>
      </w:r>
      <w:r w:rsidR="00160193">
        <w:rPr>
          <w:szCs w:val="24"/>
        </w:rPr>
        <w:t>s</w:t>
      </w:r>
      <w:r w:rsidR="00FD4EB6">
        <w:rPr>
          <w:szCs w:val="24"/>
        </w:rPr>
        <w:t xml:space="preserve"> of time during the taxable year, the parent with the highest adjusted gross income is entitled to claim the exemption.</w:t>
      </w:r>
      <w:r w:rsidR="00FD4EB6">
        <w:rPr>
          <w:rStyle w:val="EndnoteReference"/>
          <w:szCs w:val="24"/>
        </w:rPr>
        <w:endnoteReference w:id="3"/>
      </w:r>
      <w:r>
        <w:rPr>
          <w:szCs w:val="24"/>
        </w:rPr>
        <w:t xml:space="preserve"> </w:t>
      </w:r>
    </w:p>
    <w:p w:rsidR="00A73D52" w:rsidRDefault="00926AE5" w:rsidP="007D6D13">
      <w:pPr>
        <w:pStyle w:val="PA"/>
        <w:suppressAutoHyphens/>
        <w:spacing w:after="144"/>
        <w:rPr>
          <w:szCs w:val="24"/>
        </w:rPr>
      </w:pPr>
      <w:r>
        <w:rPr>
          <w:szCs w:val="24"/>
        </w:rPr>
        <w:t xml:space="preserve">One the other hand the custodial parent </w:t>
      </w:r>
      <w:r w:rsidR="00052FB2">
        <w:rPr>
          <w:szCs w:val="24"/>
        </w:rPr>
        <w:t>may release the claim for exemption</w:t>
      </w:r>
      <w:r w:rsidR="009F5142">
        <w:rPr>
          <w:szCs w:val="24"/>
        </w:rPr>
        <w:t xml:space="preserve"> to allow the noncustodial parent to claim the exemption.</w:t>
      </w:r>
      <w:r>
        <w:rPr>
          <w:szCs w:val="24"/>
        </w:rPr>
        <w:t xml:space="preserve">  </w:t>
      </w:r>
      <w:r w:rsidR="00A73D52">
        <w:rPr>
          <w:szCs w:val="24"/>
        </w:rPr>
        <w:t xml:space="preserve">In order to claim the exemption, the </w:t>
      </w:r>
      <w:r>
        <w:rPr>
          <w:szCs w:val="24"/>
        </w:rPr>
        <w:t xml:space="preserve">custodial spouse executes a Form 8332 that the </w:t>
      </w:r>
      <w:r w:rsidR="00A73D52">
        <w:rPr>
          <w:szCs w:val="24"/>
        </w:rPr>
        <w:t xml:space="preserve">noncustodial </w:t>
      </w:r>
      <w:r w:rsidR="004600C9">
        <w:rPr>
          <w:szCs w:val="24"/>
        </w:rPr>
        <w:t>parent must attach to the</w:t>
      </w:r>
      <w:r w:rsidR="00A73D52">
        <w:rPr>
          <w:szCs w:val="24"/>
        </w:rPr>
        <w:t xml:space="preserve"> tax return.</w:t>
      </w:r>
      <w:r w:rsidR="00335FCA">
        <w:rPr>
          <w:szCs w:val="24"/>
        </w:rPr>
        <w:t xml:space="preserve">  As explained below, it is also possible for the custodial spouse to revoke the release of the exemption in order to claim it for himself or herself.</w:t>
      </w:r>
    </w:p>
    <w:p w:rsidR="00A73D52" w:rsidRPr="00A73D52" w:rsidRDefault="00A73D52" w:rsidP="00A73D52">
      <w:pPr>
        <w:pStyle w:val="PA"/>
        <w:suppressAutoHyphens/>
        <w:spacing w:after="144"/>
        <w:ind w:firstLine="0"/>
        <w:jc w:val="center"/>
        <w:rPr>
          <w:b/>
          <w:szCs w:val="24"/>
        </w:rPr>
      </w:pPr>
      <w:r>
        <w:rPr>
          <w:b/>
          <w:szCs w:val="24"/>
        </w:rPr>
        <w:t xml:space="preserve">POST 2008 RULES FOR RELEASE AND REVOCATION OF RELEASE OF </w:t>
      </w:r>
      <w:r w:rsidR="00335FCA">
        <w:rPr>
          <w:b/>
          <w:szCs w:val="24"/>
        </w:rPr>
        <w:t xml:space="preserve">CLAIM TO </w:t>
      </w:r>
      <w:r>
        <w:rPr>
          <w:b/>
          <w:szCs w:val="24"/>
        </w:rPr>
        <w:t>EXEMPTION</w:t>
      </w:r>
    </w:p>
    <w:p w:rsidR="00335FCA" w:rsidRDefault="009F5142" w:rsidP="007D6D13">
      <w:pPr>
        <w:pStyle w:val="PA"/>
        <w:suppressAutoHyphens/>
        <w:spacing w:after="144"/>
        <w:rPr>
          <w:szCs w:val="24"/>
        </w:rPr>
      </w:pPr>
      <w:r>
        <w:rPr>
          <w:szCs w:val="24"/>
        </w:rPr>
        <w:t xml:space="preserve">For tax years beginning after July 2, 2008, </w:t>
      </w:r>
      <w:r w:rsidR="00335FCA">
        <w:rPr>
          <w:szCs w:val="24"/>
        </w:rPr>
        <w:t xml:space="preserve">there are </w:t>
      </w:r>
      <w:r w:rsidR="00F95757">
        <w:rPr>
          <w:szCs w:val="24"/>
        </w:rPr>
        <w:t xml:space="preserve">prescribed </w:t>
      </w:r>
      <w:r w:rsidR="00335FCA">
        <w:rPr>
          <w:szCs w:val="24"/>
        </w:rPr>
        <w:t xml:space="preserve">ways to release </w:t>
      </w:r>
      <w:r w:rsidR="00F95757">
        <w:rPr>
          <w:szCs w:val="24"/>
        </w:rPr>
        <w:t xml:space="preserve">the claim to the exemption to the noncustodial parent as well as to </w:t>
      </w:r>
      <w:r w:rsidR="00335FCA">
        <w:rPr>
          <w:szCs w:val="24"/>
        </w:rPr>
        <w:t>revoke the release of the claim to the exemption f</w:t>
      </w:r>
      <w:r w:rsidR="00F95757">
        <w:rPr>
          <w:szCs w:val="24"/>
        </w:rPr>
        <w:t>rom the noncustodial parent (</w:t>
      </w:r>
      <w:r w:rsidR="00926AE5">
        <w:rPr>
          <w:szCs w:val="24"/>
        </w:rPr>
        <w:t>effectively returning t</w:t>
      </w:r>
      <w:r w:rsidR="00F95757">
        <w:rPr>
          <w:szCs w:val="24"/>
        </w:rPr>
        <w:t>o the custodial parent)</w:t>
      </w:r>
      <w:r w:rsidR="00335FCA">
        <w:rPr>
          <w:szCs w:val="24"/>
        </w:rPr>
        <w:t xml:space="preserve">.  </w:t>
      </w:r>
    </w:p>
    <w:p w:rsidR="00335FCA" w:rsidRPr="00335FCA" w:rsidRDefault="00335FCA" w:rsidP="00335FCA">
      <w:pPr>
        <w:pStyle w:val="PA"/>
        <w:numPr>
          <w:ilvl w:val="0"/>
          <w:numId w:val="31"/>
        </w:numPr>
        <w:suppressAutoHyphens/>
        <w:spacing w:after="144"/>
        <w:rPr>
          <w:szCs w:val="24"/>
        </w:rPr>
      </w:pPr>
      <w:r>
        <w:rPr>
          <w:b/>
          <w:i/>
          <w:szCs w:val="24"/>
        </w:rPr>
        <w:t>Releasing the Exemption to Noncustodial Spouse</w:t>
      </w:r>
    </w:p>
    <w:p w:rsidR="00427B74" w:rsidRDefault="00926AE5" w:rsidP="00335FCA">
      <w:pPr>
        <w:pStyle w:val="PA"/>
        <w:suppressAutoHyphens/>
        <w:spacing w:after="144"/>
        <w:rPr>
          <w:szCs w:val="24"/>
        </w:rPr>
      </w:pPr>
      <w:r>
        <w:rPr>
          <w:szCs w:val="24"/>
        </w:rPr>
        <w:t>As mentioned above, the</w:t>
      </w:r>
      <w:r w:rsidR="00335FCA">
        <w:rPr>
          <w:szCs w:val="24"/>
        </w:rPr>
        <w:t xml:space="preserve"> custodial spouse may release the claim to the exemption </w:t>
      </w:r>
      <w:r>
        <w:rPr>
          <w:szCs w:val="24"/>
        </w:rPr>
        <w:t xml:space="preserve">by executing </w:t>
      </w:r>
      <w:r w:rsidR="00335FCA">
        <w:rPr>
          <w:szCs w:val="24"/>
        </w:rPr>
        <w:t>a Form 8332 (Release/Revocation of Claim to Exemption for Child by Custodial Parent)</w:t>
      </w:r>
      <w:r w:rsidR="000B6239">
        <w:rPr>
          <w:szCs w:val="24"/>
        </w:rPr>
        <w:t>.</w:t>
      </w:r>
      <w:r w:rsidR="00335FCA">
        <w:rPr>
          <w:szCs w:val="24"/>
        </w:rPr>
        <w:t xml:space="preserve">  Form 8332 provides the custodial parent with the option of releasing the right to claim the exemption for a single tax year or for multiple tax years.</w:t>
      </w:r>
      <w:r w:rsidR="000B6239">
        <w:rPr>
          <w:szCs w:val="24"/>
        </w:rPr>
        <w:t xml:space="preserve">  In the alternative, the custodial spouse may </w:t>
      </w:r>
      <w:r w:rsidR="00335FCA">
        <w:rPr>
          <w:szCs w:val="24"/>
        </w:rPr>
        <w:t xml:space="preserve">execute a </w:t>
      </w:r>
      <w:r w:rsidR="000B6239">
        <w:rPr>
          <w:szCs w:val="24"/>
        </w:rPr>
        <w:t xml:space="preserve">conforming </w:t>
      </w:r>
      <w:r w:rsidR="00335FCA">
        <w:rPr>
          <w:szCs w:val="24"/>
        </w:rPr>
        <w:t>written d</w:t>
      </w:r>
      <w:r w:rsidR="000B6239">
        <w:rPr>
          <w:szCs w:val="24"/>
        </w:rPr>
        <w:t>ocument</w:t>
      </w:r>
      <w:r w:rsidR="00335FCA">
        <w:rPr>
          <w:szCs w:val="24"/>
        </w:rPr>
        <w:t xml:space="preserve"> that includes the same information as</w:t>
      </w:r>
      <w:r w:rsidR="004600C9">
        <w:rPr>
          <w:szCs w:val="24"/>
        </w:rPr>
        <w:t xml:space="preserve"> it appears on</w:t>
      </w:r>
      <w:r w:rsidR="00335FCA">
        <w:rPr>
          <w:szCs w:val="24"/>
        </w:rPr>
        <w:t xml:space="preserve"> a Form 8332.  </w:t>
      </w:r>
      <w:r w:rsidR="00494294">
        <w:rPr>
          <w:szCs w:val="24"/>
        </w:rPr>
        <w:t xml:space="preserve">However, such written declaration must have been executed for the </w:t>
      </w:r>
      <w:r w:rsidR="00494294" w:rsidRPr="00926AE5">
        <w:rPr>
          <w:i/>
          <w:szCs w:val="24"/>
        </w:rPr>
        <w:t>sole purpose</w:t>
      </w:r>
      <w:r w:rsidR="00494294">
        <w:rPr>
          <w:szCs w:val="24"/>
        </w:rPr>
        <w:t xml:space="preserve"> of releasing the exemption to the noncustodial spouse for one or more tax years.  Importantly, </w:t>
      </w:r>
      <w:r w:rsidR="00F95757">
        <w:rPr>
          <w:szCs w:val="24"/>
        </w:rPr>
        <w:t xml:space="preserve">this means that </w:t>
      </w:r>
      <w:r w:rsidR="00494294">
        <w:rPr>
          <w:szCs w:val="24"/>
        </w:rPr>
        <w:t xml:space="preserve">attaching a court document such as a decree or a divorce or separation agreement would not </w:t>
      </w:r>
      <w:r w:rsidR="00F95757">
        <w:rPr>
          <w:szCs w:val="24"/>
        </w:rPr>
        <w:t xml:space="preserve">be an acceptable written instrument </w:t>
      </w:r>
      <w:r w:rsidR="00494294">
        <w:rPr>
          <w:szCs w:val="24"/>
        </w:rPr>
        <w:t>even if it contains all of the required information.</w:t>
      </w:r>
      <w:r w:rsidR="00494294">
        <w:rPr>
          <w:rStyle w:val="EndnoteReference"/>
          <w:szCs w:val="24"/>
        </w:rPr>
        <w:endnoteReference w:id="4"/>
      </w:r>
      <w:r w:rsidR="00494294">
        <w:rPr>
          <w:szCs w:val="24"/>
        </w:rPr>
        <w:t xml:space="preserve">  </w:t>
      </w:r>
      <w:r w:rsidR="00F95757">
        <w:rPr>
          <w:szCs w:val="24"/>
        </w:rPr>
        <w:t>Also, in order to claim the exemption, the noncustodial parent must attach the Form 8332 or w</w:t>
      </w:r>
      <w:r w:rsidR="004600C9">
        <w:rPr>
          <w:szCs w:val="24"/>
        </w:rPr>
        <w:t>ritten declaration to the</w:t>
      </w:r>
      <w:r w:rsidR="00F95757">
        <w:rPr>
          <w:szCs w:val="24"/>
        </w:rPr>
        <w:t xml:space="preserve"> tax return.</w:t>
      </w:r>
    </w:p>
    <w:p w:rsidR="00F95757" w:rsidRDefault="00F95757" w:rsidP="00F95757"/>
    <w:p w:rsidR="00F95757" w:rsidRPr="00F95757" w:rsidRDefault="00F95757" w:rsidP="00F95757">
      <w:pPr>
        <w:numPr>
          <w:ilvl w:val="0"/>
          <w:numId w:val="31"/>
        </w:numPr>
      </w:pPr>
      <w:r>
        <w:rPr>
          <w:b/>
          <w:i/>
          <w:sz w:val="24"/>
          <w:szCs w:val="24"/>
        </w:rPr>
        <w:t>Revoking the Release of the Exemption to Noncustodial Spouse</w:t>
      </w:r>
    </w:p>
    <w:p w:rsidR="00F95757" w:rsidRPr="00F95757" w:rsidRDefault="00F95757" w:rsidP="00F95757">
      <w:pPr>
        <w:ind w:left="990"/>
      </w:pPr>
    </w:p>
    <w:p w:rsidR="00BB25CF" w:rsidRDefault="00F95757" w:rsidP="007D6D13">
      <w:pPr>
        <w:pStyle w:val="PA"/>
        <w:suppressAutoHyphens/>
        <w:spacing w:after="144"/>
        <w:rPr>
          <w:szCs w:val="24"/>
        </w:rPr>
      </w:pPr>
      <w:r>
        <w:rPr>
          <w:szCs w:val="24"/>
        </w:rPr>
        <w:t>According to the regulations, the custodial parent has the unilateral right to revoke the release of the exemption from the noncustodial spouse in order to claim it</w:t>
      </w:r>
      <w:r w:rsidR="004600C9">
        <w:rPr>
          <w:szCs w:val="24"/>
        </w:rPr>
        <w:t xml:space="preserve"> for himself or herself.  To do</w:t>
      </w:r>
      <w:r>
        <w:rPr>
          <w:szCs w:val="24"/>
        </w:rPr>
        <w:t xml:space="preserve"> so</w:t>
      </w:r>
      <w:r w:rsidR="004600C9">
        <w:rPr>
          <w:szCs w:val="24"/>
        </w:rPr>
        <w:t>,</w:t>
      </w:r>
      <w:r>
        <w:rPr>
          <w:szCs w:val="24"/>
        </w:rPr>
        <w:t xml:space="preserve"> the custodial parent </w:t>
      </w:r>
      <w:r w:rsidR="004600C9">
        <w:rPr>
          <w:szCs w:val="24"/>
        </w:rPr>
        <w:t>is required to provide a</w:t>
      </w:r>
      <w:r w:rsidR="00BB25CF">
        <w:rPr>
          <w:szCs w:val="24"/>
        </w:rPr>
        <w:t xml:space="preserve"> noncustod</w:t>
      </w:r>
      <w:r w:rsidR="004600C9">
        <w:rPr>
          <w:szCs w:val="24"/>
        </w:rPr>
        <w:t>ial written notice of the</w:t>
      </w:r>
      <w:r w:rsidR="00BB25CF">
        <w:rPr>
          <w:szCs w:val="24"/>
        </w:rPr>
        <w:t xml:space="preserve"> intent to revoke and make reasonable efforts to deliver such notice to the noncustodial parent.  The revocation is effective no earlier than the tax year </w:t>
      </w:r>
      <w:r w:rsidR="00BB25CF">
        <w:rPr>
          <w:i/>
          <w:szCs w:val="24"/>
        </w:rPr>
        <w:t xml:space="preserve">following </w:t>
      </w:r>
      <w:r w:rsidR="00BB25CF">
        <w:rPr>
          <w:szCs w:val="24"/>
        </w:rPr>
        <w:t xml:space="preserve">the </w:t>
      </w:r>
      <w:r w:rsidR="00BB25CF">
        <w:rPr>
          <w:szCs w:val="24"/>
        </w:rPr>
        <w:lastRenderedPageBreak/>
        <w:t>calendar year in which the custodial parent delivered or made reasonable efforts to deliver the notice to the noncustodial spouse.</w:t>
      </w:r>
      <w:r w:rsidR="00E00D67">
        <w:rPr>
          <w:rStyle w:val="EndnoteReference"/>
          <w:szCs w:val="24"/>
        </w:rPr>
        <w:endnoteReference w:id="5"/>
      </w:r>
    </w:p>
    <w:p w:rsidR="00E00D67" w:rsidRDefault="00BB25CF" w:rsidP="007D6D13">
      <w:pPr>
        <w:pStyle w:val="PA"/>
        <w:suppressAutoHyphens/>
        <w:spacing w:after="144"/>
        <w:rPr>
          <w:szCs w:val="24"/>
        </w:rPr>
      </w:pPr>
      <w:r w:rsidRPr="00BB25CF">
        <w:rPr>
          <w:i/>
          <w:szCs w:val="24"/>
        </w:rPr>
        <w:t>Example</w:t>
      </w:r>
      <w:r>
        <w:rPr>
          <w:i/>
          <w:szCs w:val="24"/>
        </w:rPr>
        <w:t xml:space="preserve">: </w:t>
      </w:r>
      <w:r>
        <w:rPr>
          <w:szCs w:val="24"/>
        </w:rPr>
        <w:t xml:space="preserve"> Ashley and Asher are divorced parents with one child.  Prior to tax year 2014, Ashley had executed a Form 8332 releasing the claim to the dependency exemption to Asher through tax year 2016.  In February 2015, Ashley provides Asher written notice of her intent to revoke the release.  </w:t>
      </w:r>
      <w:r w:rsidR="00E00D67">
        <w:rPr>
          <w:szCs w:val="24"/>
        </w:rPr>
        <w:t>Even though Asher received written notice of Ashley</w:t>
      </w:r>
      <w:r w:rsidR="004600C9">
        <w:rPr>
          <w:szCs w:val="24"/>
        </w:rPr>
        <w:t>’s</w:t>
      </w:r>
      <w:r w:rsidR="00E00D67">
        <w:rPr>
          <w:szCs w:val="24"/>
        </w:rPr>
        <w:t xml:space="preserve"> intent to revoke the release, it would n</w:t>
      </w:r>
      <w:r w:rsidR="004600C9">
        <w:rPr>
          <w:szCs w:val="24"/>
        </w:rPr>
        <w:t xml:space="preserve">ot be </w:t>
      </w:r>
      <w:proofErr w:type="gramStart"/>
      <w:r w:rsidR="004600C9">
        <w:rPr>
          <w:szCs w:val="24"/>
        </w:rPr>
        <w:t xml:space="preserve">effective </w:t>
      </w:r>
      <w:r w:rsidR="00E00D67">
        <w:rPr>
          <w:szCs w:val="24"/>
        </w:rPr>
        <w:t xml:space="preserve"> earlier</w:t>
      </w:r>
      <w:proofErr w:type="gramEnd"/>
      <w:r w:rsidR="00E00D67">
        <w:rPr>
          <w:szCs w:val="24"/>
        </w:rPr>
        <w:t xml:space="preserve"> than tax year 2015.  Thus, for tax year 2014, Asher remains entitled to claim the dependency exemption.</w:t>
      </w:r>
    </w:p>
    <w:p w:rsidR="00427B74" w:rsidRPr="00532B64" w:rsidRDefault="00E00D67" w:rsidP="000B6239">
      <w:pPr>
        <w:pStyle w:val="PA"/>
        <w:suppressAutoHyphens/>
        <w:spacing w:after="144"/>
        <w:rPr>
          <w:szCs w:val="24"/>
        </w:rPr>
      </w:pPr>
      <w:r>
        <w:rPr>
          <w:szCs w:val="24"/>
        </w:rPr>
        <w:t xml:space="preserve">Similar to the release, the revocation is made on Form 8332 or a separate </w:t>
      </w:r>
      <w:r w:rsidR="000B6239">
        <w:rPr>
          <w:szCs w:val="24"/>
        </w:rPr>
        <w:t xml:space="preserve">conforming </w:t>
      </w:r>
      <w:r>
        <w:rPr>
          <w:szCs w:val="24"/>
        </w:rPr>
        <w:t>written document containing the same information contained on Form 8332.  If a separate written document is used it must be executed for the sole purpose of revoking the release.  Similar to the release, the revocation must specify the year or years in which it is to be in effect.</w:t>
      </w:r>
      <w:r w:rsidR="000B6239">
        <w:rPr>
          <w:szCs w:val="24"/>
        </w:rPr>
        <w:t xml:space="preserve">  To re-claim the exemption, the custodial spouse must attach the Form 8832 or c</w:t>
      </w:r>
      <w:r w:rsidR="004600C9">
        <w:rPr>
          <w:szCs w:val="24"/>
        </w:rPr>
        <w:t>onforming document to the</w:t>
      </w:r>
      <w:bookmarkStart w:id="0" w:name="_GoBack"/>
      <w:bookmarkEnd w:id="0"/>
      <w:r w:rsidR="000B6239">
        <w:rPr>
          <w:szCs w:val="24"/>
        </w:rPr>
        <w:t xml:space="preserve"> return.</w:t>
      </w:r>
      <w:r w:rsidR="000B6239" w:rsidRPr="000B6239">
        <w:rPr>
          <w:rStyle w:val="EndnoteReference"/>
          <w:szCs w:val="24"/>
        </w:rPr>
        <w:t xml:space="preserve"> </w:t>
      </w:r>
      <w:r w:rsidR="000B6239">
        <w:rPr>
          <w:rStyle w:val="EndnoteReference"/>
          <w:szCs w:val="24"/>
        </w:rPr>
        <w:endnoteReference w:id="6"/>
      </w:r>
    </w:p>
    <w:p w:rsidR="004E7836" w:rsidRPr="004E7836" w:rsidRDefault="004E7836" w:rsidP="004E7836"/>
    <w:sectPr w:rsidR="004E7836" w:rsidRPr="004E7836" w:rsidSect="00271A21">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545" w:rsidRDefault="00405545" w:rsidP="006F074C">
      <w:r>
        <w:separator/>
      </w:r>
    </w:p>
  </w:endnote>
  <w:endnote w:type="continuationSeparator" w:id="0">
    <w:p w:rsidR="00405545" w:rsidRDefault="00405545" w:rsidP="006F074C">
      <w:r>
        <w:continuationSeparator/>
      </w:r>
    </w:p>
  </w:endnote>
  <w:endnote w:id="1">
    <w:p w:rsidR="00052FB2" w:rsidRDefault="00052FB2" w:rsidP="00052FB2">
      <w:pPr>
        <w:pStyle w:val="EndnoteText"/>
      </w:pPr>
      <w:r>
        <w:rPr>
          <w:rStyle w:val="EndnoteReference"/>
        </w:rPr>
        <w:endnoteRef/>
      </w:r>
      <w:r>
        <w:t xml:space="preserve"> </w:t>
      </w:r>
      <w:r w:rsidRPr="007330BC">
        <w:rPr>
          <w:i/>
          <w:iCs/>
          <w:sz w:val="16"/>
          <w:szCs w:val="16"/>
        </w:rPr>
        <w:t>King v. Comm</w:t>
      </w:r>
      <w:r w:rsidRPr="007330BC">
        <w:rPr>
          <w:sz w:val="16"/>
          <w:szCs w:val="16"/>
        </w:rPr>
        <w:t xml:space="preserve">., 121 TC 245 (2003). See also Preamble, REG-149856-03, </w:t>
      </w:r>
      <w:proofErr w:type="gramStart"/>
      <w:r w:rsidRPr="007330BC">
        <w:rPr>
          <w:sz w:val="16"/>
          <w:szCs w:val="16"/>
        </w:rPr>
        <w:t>72</w:t>
      </w:r>
      <w:proofErr w:type="gramEnd"/>
      <w:r w:rsidRPr="007330BC">
        <w:rPr>
          <w:sz w:val="16"/>
          <w:szCs w:val="16"/>
        </w:rPr>
        <w:t xml:space="preserve"> Fed. Reg. 24192, 24194 (5-2-2007).</w:t>
      </w:r>
    </w:p>
  </w:endnote>
  <w:endnote w:id="2">
    <w:p w:rsidR="00FD4EB6" w:rsidRPr="00D909B6" w:rsidRDefault="00FD4EB6">
      <w:pPr>
        <w:pStyle w:val="EndnoteText"/>
        <w:rPr>
          <w:sz w:val="16"/>
          <w:szCs w:val="16"/>
        </w:rPr>
      </w:pPr>
      <w:r>
        <w:rPr>
          <w:rStyle w:val="EndnoteReference"/>
        </w:rPr>
        <w:endnoteRef/>
      </w:r>
      <w:r>
        <w:t xml:space="preserve">  </w:t>
      </w:r>
      <w:r>
        <w:rPr>
          <w:sz w:val="16"/>
          <w:szCs w:val="16"/>
        </w:rPr>
        <w:t>IRC Sec. 152(e</w:t>
      </w:r>
      <w:proofErr w:type="gramStart"/>
      <w:r>
        <w:rPr>
          <w:sz w:val="16"/>
          <w:szCs w:val="16"/>
        </w:rPr>
        <w:t>)(</w:t>
      </w:r>
      <w:proofErr w:type="gramEnd"/>
      <w:r>
        <w:rPr>
          <w:sz w:val="16"/>
          <w:szCs w:val="16"/>
        </w:rPr>
        <w:t>1)(B).</w:t>
      </w:r>
    </w:p>
  </w:endnote>
  <w:endnote w:id="3">
    <w:p w:rsidR="00FD4EB6" w:rsidRPr="00D909B6" w:rsidRDefault="00FD4EB6">
      <w:pPr>
        <w:pStyle w:val="EndnoteText"/>
        <w:rPr>
          <w:sz w:val="16"/>
          <w:szCs w:val="16"/>
        </w:rPr>
      </w:pPr>
      <w:r>
        <w:rPr>
          <w:rStyle w:val="EndnoteReference"/>
        </w:rPr>
        <w:endnoteRef/>
      </w:r>
      <w:r>
        <w:t xml:space="preserve"> </w:t>
      </w:r>
      <w:r>
        <w:rPr>
          <w:sz w:val="16"/>
          <w:szCs w:val="16"/>
        </w:rPr>
        <w:t>IRC. Sec. 152(c</w:t>
      </w:r>
      <w:proofErr w:type="gramStart"/>
      <w:r>
        <w:rPr>
          <w:sz w:val="16"/>
          <w:szCs w:val="16"/>
        </w:rPr>
        <w:t>)(</w:t>
      </w:r>
      <w:proofErr w:type="gramEnd"/>
      <w:r>
        <w:rPr>
          <w:sz w:val="16"/>
          <w:szCs w:val="16"/>
        </w:rPr>
        <w:t>4)(B).</w:t>
      </w:r>
    </w:p>
  </w:endnote>
  <w:endnote w:id="4">
    <w:p w:rsidR="00494294" w:rsidRPr="00494294" w:rsidRDefault="00494294">
      <w:pPr>
        <w:pStyle w:val="EndnoteText"/>
        <w:rPr>
          <w:sz w:val="16"/>
          <w:szCs w:val="16"/>
        </w:rPr>
      </w:pPr>
      <w:r>
        <w:rPr>
          <w:rStyle w:val="EndnoteReference"/>
        </w:rPr>
        <w:endnoteRef/>
      </w:r>
      <w:r>
        <w:t xml:space="preserve"> </w:t>
      </w:r>
      <w:r w:rsidRPr="00E00D67">
        <w:rPr>
          <w:sz w:val="16"/>
          <w:szCs w:val="16"/>
        </w:rPr>
        <w:t>Treas. Reg. § 1.152-4(e).</w:t>
      </w:r>
    </w:p>
  </w:endnote>
  <w:endnote w:id="5">
    <w:p w:rsidR="00E00D67" w:rsidRDefault="00E00D67">
      <w:pPr>
        <w:pStyle w:val="EndnoteText"/>
      </w:pPr>
      <w:r>
        <w:rPr>
          <w:rStyle w:val="EndnoteReference"/>
        </w:rPr>
        <w:endnoteRef/>
      </w:r>
      <w:r>
        <w:t xml:space="preserve"> </w:t>
      </w:r>
      <w:r w:rsidRPr="00E00D67">
        <w:rPr>
          <w:sz w:val="16"/>
          <w:szCs w:val="16"/>
        </w:rPr>
        <w:t>Treas. Reg. § 1.152-4(e</w:t>
      </w:r>
      <w:proofErr w:type="gramStart"/>
      <w:r w:rsidRPr="00E00D67">
        <w:rPr>
          <w:sz w:val="16"/>
          <w:szCs w:val="16"/>
        </w:rPr>
        <w:t>)</w:t>
      </w:r>
      <w:r>
        <w:rPr>
          <w:sz w:val="16"/>
          <w:szCs w:val="16"/>
        </w:rPr>
        <w:t>(</w:t>
      </w:r>
      <w:proofErr w:type="gramEnd"/>
      <w:r>
        <w:rPr>
          <w:sz w:val="16"/>
          <w:szCs w:val="16"/>
        </w:rPr>
        <w:t>3).</w:t>
      </w:r>
    </w:p>
  </w:endnote>
  <w:endnote w:id="6">
    <w:p w:rsidR="000B6239" w:rsidRDefault="000B6239" w:rsidP="000B6239">
      <w:pPr>
        <w:pStyle w:val="EndnoteText"/>
      </w:pPr>
      <w:r>
        <w:rPr>
          <w:rStyle w:val="EndnoteReference"/>
        </w:rPr>
        <w:endnoteRef/>
      </w:r>
      <w:r>
        <w:t xml:space="preserve"> </w:t>
      </w:r>
      <w:r w:rsidRPr="00E00D67">
        <w:rPr>
          <w:sz w:val="16"/>
          <w:szCs w:val="16"/>
        </w:rPr>
        <w:t>Treas. Reg. § 1.152-4(e)</w:t>
      </w:r>
      <w:proofErr w:type="gramStart"/>
      <w:r w:rsidRPr="00E00D67">
        <w:rPr>
          <w:sz w:val="16"/>
          <w:szCs w:val="16"/>
        </w:rPr>
        <w:t>.</w:t>
      </w:r>
      <w:r>
        <w:rPr>
          <w:sz w:val="16"/>
          <w:szCs w:val="16"/>
        </w:rPr>
        <w:t>(</w:t>
      </w:r>
      <w:proofErr w:type="gramEnd"/>
      <w:r>
        <w:rPr>
          <w:sz w:val="16"/>
          <w:szCs w:val="16"/>
        </w:rPr>
        <w:t>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Perpetua">
    <w:altName w:val="Baskerville Old Face"/>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545" w:rsidRDefault="00405545" w:rsidP="006F074C">
      <w:r>
        <w:separator/>
      </w:r>
    </w:p>
  </w:footnote>
  <w:footnote w:type="continuationSeparator" w:id="0">
    <w:p w:rsidR="00405545" w:rsidRDefault="00405545" w:rsidP="006F0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7"/>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720"/>
      </w:pPr>
      <w:rPr>
        <w:rFonts w:hint="default"/>
        <w:position w:val="0"/>
      </w:rPr>
    </w:lvl>
    <w:lvl w:ilvl="2">
      <w:start w:val="1"/>
      <w:numFmt w:val="decimal"/>
      <w:isLgl/>
      <w:lvlText w:val="(%3)"/>
      <w:lvlJc w:val="left"/>
      <w:pPr>
        <w:tabs>
          <w:tab w:val="num" w:pos="360"/>
        </w:tabs>
        <w:ind w:left="360" w:firstLine="1440"/>
      </w:pPr>
      <w:rPr>
        <w:rFonts w:hint="default"/>
        <w:position w:val="0"/>
      </w:rPr>
    </w:lvl>
    <w:lvl w:ilvl="3">
      <w:start w:val="1"/>
      <w:numFmt w:val="decimal"/>
      <w:isLgl/>
      <w:lvlText w:val="(%4)"/>
      <w:lvlJc w:val="left"/>
      <w:pPr>
        <w:tabs>
          <w:tab w:val="num" w:pos="360"/>
        </w:tabs>
        <w:ind w:left="360" w:firstLine="2160"/>
      </w:pPr>
      <w:rPr>
        <w:rFonts w:hint="default"/>
        <w:position w:val="0"/>
      </w:rPr>
    </w:lvl>
    <w:lvl w:ilvl="4">
      <w:start w:val="1"/>
      <w:numFmt w:val="decimal"/>
      <w:isLgl/>
      <w:lvlText w:val="(%5)"/>
      <w:lvlJc w:val="left"/>
      <w:pPr>
        <w:tabs>
          <w:tab w:val="num" w:pos="360"/>
        </w:tabs>
        <w:ind w:left="360" w:firstLine="2880"/>
      </w:pPr>
      <w:rPr>
        <w:rFonts w:hint="default"/>
        <w:position w:val="0"/>
      </w:rPr>
    </w:lvl>
    <w:lvl w:ilvl="5">
      <w:start w:val="1"/>
      <w:numFmt w:val="decimal"/>
      <w:isLgl/>
      <w:lvlText w:val="(%6)"/>
      <w:lvlJc w:val="left"/>
      <w:pPr>
        <w:tabs>
          <w:tab w:val="num" w:pos="360"/>
        </w:tabs>
        <w:ind w:left="360" w:firstLine="3600"/>
      </w:pPr>
      <w:rPr>
        <w:rFonts w:hint="default"/>
        <w:position w:val="0"/>
      </w:rPr>
    </w:lvl>
    <w:lvl w:ilvl="6">
      <w:start w:val="1"/>
      <w:numFmt w:val="decimal"/>
      <w:isLgl/>
      <w:lvlText w:val="(%7)"/>
      <w:lvlJc w:val="left"/>
      <w:pPr>
        <w:tabs>
          <w:tab w:val="num" w:pos="360"/>
        </w:tabs>
        <w:ind w:left="360" w:firstLine="4320"/>
      </w:pPr>
      <w:rPr>
        <w:rFonts w:hint="default"/>
        <w:position w:val="0"/>
      </w:rPr>
    </w:lvl>
    <w:lvl w:ilvl="7">
      <w:start w:val="1"/>
      <w:numFmt w:val="decimal"/>
      <w:isLgl/>
      <w:lvlText w:val="(%8)"/>
      <w:lvlJc w:val="left"/>
      <w:pPr>
        <w:tabs>
          <w:tab w:val="num" w:pos="360"/>
        </w:tabs>
        <w:ind w:left="360" w:firstLine="5040"/>
      </w:pPr>
      <w:rPr>
        <w:rFonts w:hint="default"/>
        <w:position w:val="0"/>
      </w:rPr>
    </w:lvl>
    <w:lvl w:ilvl="8">
      <w:start w:val="1"/>
      <w:numFmt w:val="decimal"/>
      <w:isLgl/>
      <w:lvlText w:val="(%9)"/>
      <w:lvlJc w:val="left"/>
      <w:pPr>
        <w:tabs>
          <w:tab w:val="num" w:pos="360"/>
        </w:tabs>
        <w:ind w:left="360" w:firstLine="5760"/>
      </w:pPr>
      <w:rPr>
        <w:rFonts w:hint="default"/>
        <w:position w:val="0"/>
      </w:rPr>
    </w:lvl>
  </w:abstractNum>
  <w:abstractNum w:abstractNumId="1">
    <w:nsid w:val="01B65D04"/>
    <w:multiLevelType w:val="hybridMultilevel"/>
    <w:tmpl w:val="5EC0565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152CDE"/>
    <w:multiLevelType w:val="hybridMultilevel"/>
    <w:tmpl w:val="16CE55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072E76"/>
    <w:multiLevelType w:val="hybridMultilevel"/>
    <w:tmpl w:val="BFF46874"/>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32237DC"/>
    <w:multiLevelType w:val="hybridMultilevel"/>
    <w:tmpl w:val="ED42B8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4763935"/>
    <w:multiLevelType w:val="hybridMultilevel"/>
    <w:tmpl w:val="AD063F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6311D34"/>
    <w:multiLevelType w:val="hybridMultilevel"/>
    <w:tmpl w:val="3A4015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192C5100"/>
    <w:multiLevelType w:val="hybridMultilevel"/>
    <w:tmpl w:val="C2A8295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275B1591"/>
    <w:multiLevelType w:val="hybridMultilevel"/>
    <w:tmpl w:val="87483FBA"/>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ABB0CF0"/>
    <w:multiLevelType w:val="hybridMultilevel"/>
    <w:tmpl w:val="88D830E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38893208"/>
    <w:multiLevelType w:val="hybridMultilevel"/>
    <w:tmpl w:val="914C9F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4AB6625A"/>
    <w:multiLevelType w:val="hybridMultilevel"/>
    <w:tmpl w:val="CEB2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BE334A"/>
    <w:multiLevelType w:val="hybridMultilevel"/>
    <w:tmpl w:val="D98E95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2084466"/>
    <w:multiLevelType w:val="hybridMultilevel"/>
    <w:tmpl w:val="5C186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1B2CBE"/>
    <w:multiLevelType w:val="singleLevel"/>
    <w:tmpl w:val="0409000F"/>
    <w:lvl w:ilvl="0">
      <w:start w:val="1"/>
      <w:numFmt w:val="decimal"/>
      <w:lvlText w:val="%1."/>
      <w:lvlJc w:val="left"/>
      <w:pPr>
        <w:tabs>
          <w:tab w:val="num" w:pos="360"/>
        </w:tabs>
        <w:ind w:left="360" w:hanging="360"/>
      </w:pPr>
    </w:lvl>
  </w:abstractNum>
  <w:abstractNum w:abstractNumId="21">
    <w:nsid w:val="54DC48F3"/>
    <w:multiLevelType w:val="hybridMultilevel"/>
    <w:tmpl w:val="20CEF1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5DCD4640"/>
    <w:multiLevelType w:val="hybridMultilevel"/>
    <w:tmpl w:val="D84A26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63E765D5"/>
    <w:multiLevelType w:val="hybridMultilevel"/>
    <w:tmpl w:val="E3A6E1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5">
    <w:nsid w:val="6A546E28"/>
    <w:multiLevelType w:val="hybridMultilevel"/>
    <w:tmpl w:val="8814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686C85"/>
    <w:multiLevelType w:val="hybridMultilevel"/>
    <w:tmpl w:val="B7E8C7F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0">
    <w:nsid w:val="7F257861"/>
    <w:multiLevelType w:val="hybridMultilevel"/>
    <w:tmpl w:val="1AA0EC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30"/>
  </w:num>
  <w:num w:numId="3">
    <w:abstractNumId w:val="25"/>
  </w:num>
  <w:num w:numId="4">
    <w:abstractNumId w:val="16"/>
  </w:num>
  <w:num w:numId="5">
    <w:abstractNumId w:val="9"/>
  </w:num>
  <w:num w:numId="6">
    <w:abstractNumId w:val="19"/>
  </w:num>
  <w:num w:numId="7">
    <w:abstractNumId w:val="22"/>
  </w:num>
  <w:num w:numId="8">
    <w:abstractNumId w:val="6"/>
  </w:num>
  <w:num w:numId="9">
    <w:abstractNumId w:val="1"/>
  </w:num>
  <w:num w:numId="10">
    <w:abstractNumId w:val="15"/>
  </w:num>
  <w:num w:numId="11">
    <w:abstractNumId w:val="21"/>
  </w:num>
  <w:num w:numId="12">
    <w:abstractNumId w:val="27"/>
  </w:num>
  <w:num w:numId="13">
    <w:abstractNumId w:val="5"/>
  </w:num>
  <w:num w:numId="14">
    <w:abstractNumId w:val="23"/>
  </w:num>
  <w:num w:numId="15">
    <w:abstractNumId w:val="8"/>
  </w:num>
  <w:num w:numId="16">
    <w:abstractNumId w:val="7"/>
  </w:num>
  <w:num w:numId="17">
    <w:abstractNumId w:val="12"/>
  </w:num>
  <w:num w:numId="18">
    <w:abstractNumId w:val="18"/>
  </w:num>
  <w:num w:numId="19">
    <w:abstractNumId w:val="11"/>
  </w:num>
  <w:num w:numId="20">
    <w:abstractNumId w:val="24"/>
  </w:num>
  <w:num w:numId="21">
    <w:abstractNumId w:val="2"/>
  </w:num>
  <w:num w:numId="22">
    <w:abstractNumId w:val="14"/>
  </w:num>
  <w:num w:numId="23">
    <w:abstractNumId w:val="29"/>
  </w:num>
  <w:num w:numId="24">
    <w:abstractNumId w:val="13"/>
  </w:num>
  <w:num w:numId="25">
    <w:abstractNumId w:val="20"/>
  </w:num>
  <w:num w:numId="26">
    <w:abstractNumId w:val="3"/>
  </w:num>
  <w:num w:numId="27">
    <w:abstractNumId w:val="4"/>
  </w:num>
  <w:num w:numId="28">
    <w:abstractNumId w:val="26"/>
  </w:num>
  <w:num w:numId="29">
    <w:abstractNumId w:val="28"/>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FB"/>
    <w:rsid w:val="00007B43"/>
    <w:rsid w:val="0001174C"/>
    <w:rsid w:val="000201D4"/>
    <w:rsid w:val="00037960"/>
    <w:rsid w:val="00043906"/>
    <w:rsid w:val="000465CA"/>
    <w:rsid w:val="00052FB2"/>
    <w:rsid w:val="00070338"/>
    <w:rsid w:val="0008018A"/>
    <w:rsid w:val="00083567"/>
    <w:rsid w:val="000925AB"/>
    <w:rsid w:val="00097038"/>
    <w:rsid w:val="000A2B66"/>
    <w:rsid w:val="000A6CAB"/>
    <w:rsid w:val="000B6239"/>
    <w:rsid w:val="000B6372"/>
    <w:rsid w:val="000D258D"/>
    <w:rsid w:val="000D6146"/>
    <w:rsid w:val="000E6BBB"/>
    <w:rsid w:val="00114F5B"/>
    <w:rsid w:val="00116205"/>
    <w:rsid w:val="001244E9"/>
    <w:rsid w:val="00141FAB"/>
    <w:rsid w:val="00160193"/>
    <w:rsid w:val="0017741C"/>
    <w:rsid w:val="00197132"/>
    <w:rsid w:val="0019748C"/>
    <w:rsid w:val="001A2727"/>
    <w:rsid w:val="001D0595"/>
    <w:rsid w:val="001E1AC3"/>
    <w:rsid w:val="001F52F4"/>
    <w:rsid w:val="002000C6"/>
    <w:rsid w:val="00202A9B"/>
    <w:rsid w:val="00202F50"/>
    <w:rsid w:val="002040BD"/>
    <w:rsid w:val="00212ED8"/>
    <w:rsid w:val="00217D49"/>
    <w:rsid w:val="002366ED"/>
    <w:rsid w:val="00242C92"/>
    <w:rsid w:val="00243A4C"/>
    <w:rsid w:val="00264FD9"/>
    <w:rsid w:val="00271A21"/>
    <w:rsid w:val="00287277"/>
    <w:rsid w:val="002B58F5"/>
    <w:rsid w:val="002D1C66"/>
    <w:rsid w:val="002E46AF"/>
    <w:rsid w:val="002E4BFB"/>
    <w:rsid w:val="002F6745"/>
    <w:rsid w:val="00310C38"/>
    <w:rsid w:val="0032167A"/>
    <w:rsid w:val="00323E1D"/>
    <w:rsid w:val="00327BDB"/>
    <w:rsid w:val="00335FCA"/>
    <w:rsid w:val="00355BC4"/>
    <w:rsid w:val="00360557"/>
    <w:rsid w:val="00377919"/>
    <w:rsid w:val="003B1DF7"/>
    <w:rsid w:val="003B450F"/>
    <w:rsid w:val="003B65D8"/>
    <w:rsid w:val="003C1548"/>
    <w:rsid w:val="003F00D7"/>
    <w:rsid w:val="003F05E5"/>
    <w:rsid w:val="00405545"/>
    <w:rsid w:val="004167F4"/>
    <w:rsid w:val="00417054"/>
    <w:rsid w:val="00427B74"/>
    <w:rsid w:val="00435B94"/>
    <w:rsid w:val="00456493"/>
    <w:rsid w:val="004600C9"/>
    <w:rsid w:val="00474C65"/>
    <w:rsid w:val="00484642"/>
    <w:rsid w:val="00487A39"/>
    <w:rsid w:val="00494294"/>
    <w:rsid w:val="004C5F26"/>
    <w:rsid w:val="004E7836"/>
    <w:rsid w:val="00501B90"/>
    <w:rsid w:val="00511E10"/>
    <w:rsid w:val="00521FCB"/>
    <w:rsid w:val="00532B64"/>
    <w:rsid w:val="005611F2"/>
    <w:rsid w:val="00565698"/>
    <w:rsid w:val="0056737A"/>
    <w:rsid w:val="00590D68"/>
    <w:rsid w:val="005A7B2C"/>
    <w:rsid w:val="005B0930"/>
    <w:rsid w:val="005B53F2"/>
    <w:rsid w:val="005C64AC"/>
    <w:rsid w:val="005E18C8"/>
    <w:rsid w:val="005E1E5E"/>
    <w:rsid w:val="005E1F03"/>
    <w:rsid w:val="005E3CAD"/>
    <w:rsid w:val="006152E6"/>
    <w:rsid w:val="0061599B"/>
    <w:rsid w:val="00647754"/>
    <w:rsid w:val="00664BF0"/>
    <w:rsid w:val="00667AE6"/>
    <w:rsid w:val="0068069B"/>
    <w:rsid w:val="00695FA3"/>
    <w:rsid w:val="00697BB7"/>
    <w:rsid w:val="006B1DE0"/>
    <w:rsid w:val="006C1680"/>
    <w:rsid w:val="006C6B16"/>
    <w:rsid w:val="006D650C"/>
    <w:rsid w:val="006E0E1D"/>
    <w:rsid w:val="006E34CD"/>
    <w:rsid w:val="006F074C"/>
    <w:rsid w:val="00704D91"/>
    <w:rsid w:val="00723223"/>
    <w:rsid w:val="00725A6D"/>
    <w:rsid w:val="007343A3"/>
    <w:rsid w:val="007865B2"/>
    <w:rsid w:val="00786F5E"/>
    <w:rsid w:val="00794370"/>
    <w:rsid w:val="007B5A4F"/>
    <w:rsid w:val="007D39E8"/>
    <w:rsid w:val="007D6D13"/>
    <w:rsid w:val="007D7748"/>
    <w:rsid w:val="0080472F"/>
    <w:rsid w:val="00804FC2"/>
    <w:rsid w:val="008316E9"/>
    <w:rsid w:val="00833C2F"/>
    <w:rsid w:val="00835C56"/>
    <w:rsid w:val="00844B76"/>
    <w:rsid w:val="00857766"/>
    <w:rsid w:val="008864E6"/>
    <w:rsid w:val="008A42E4"/>
    <w:rsid w:val="008B16D5"/>
    <w:rsid w:val="008C2D90"/>
    <w:rsid w:val="008C5403"/>
    <w:rsid w:val="008D4B69"/>
    <w:rsid w:val="008E11EC"/>
    <w:rsid w:val="008E4CF6"/>
    <w:rsid w:val="008F7667"/>
    <w:rsid w:val="009003A2"/>
    <w:rsid w:val="00920178"/>
    <w:rsid w:val="00926AE5"/>
    <w:rsid w:val="00944E4E"/>
    <w:rsid w:val="0095488D"/>
    <w:rsid w:val="00957231"/>
    <w:rsid w:val="009626DD"/>
    <w:rsid w:val="0097483E"/>
    <w:rsid w:val="009938E4"/>
    <w:rsid w:val="009C73DD"/>
    <w:rsid w:val="009F5142"/>
    <w:rsid w:val="009F75A1"/>
    <w:rsid w:val="00A02AF1"/>
    <w:rsid w:val="00A03817"/>
    <w:rsid w:val="00A05FEA"/>
    <w:rsid w:val="00A2685C"/>
    <w:rsid w:val="00A268AC"/>
    <w:rsid w:val="00A42186"/>
    <w:rsid w:val="00A44BAD"/>
    <w:rsid w:val="00A46971"/>
    <w:rsid w:val="00A73D52"/>
    <w:rsid w:val="00A82E6D"/>
    <w:rsid w:val="00AB17DE"/>
    <w:rsid w:val="00B15D08"/>
    <w:rsid w:val="00B47F6C"/>
    <w:rsid w:val="00B619F6"/>
    <w:rsid w:val="00B97105"/>
    <w:rsid w:val="00BA22F5"/>
    <w:rsid w:val="00BB25CF"/>
    <w:rsid w:val="00BC19F7"/>
    <w:rsid w:val="00BC5792"/>
    <w:rsid w:val="00BC5FA9"/>
    <w:rsid w:val="00BC6F51"/>
    <w:rsid w:val="00BE317F"/>
    <w:rsid w:val="00C15AF0"/>
    <w:rsid w:val="00C1615A"/>
    <w:rsid w:val="00C3032D"/>
    <w:rsid w:val="00C360BE"/>
    <w:rsid w:val="00C5496F"/>
    <w:rsid w:val="00C64FEC"/>
    <w:rsid w:val="00C7768E"/>
    <w:rsid w:val="00CB0AF1"/>
    <w:rsid w:val="00CD22F0"/>
    <w:rsid w:val="00CE765C"/>
    <w:rsid w:val="00CF5092"/>
    <w:rsid w:val="00D0195D"/>
    <w:rsid w:val="00D418E3"/>
    <w:rsid w:val="00D51611"/>
    <w:rsid w:val="00D72E05"/>
    <w:rsid w:val="00D73FC0"/>
    <w:rsid w:val="00D81626"/>
    <w:rsid w:val="00D909B6"/>
    <w:rsid w:val="00DC02E2"/>
    <w:rsid w:val="00DC0B50"/>
    <w:rsid w:val="00DD22D9"/>
    <w:rsid w:val="00DD68C3"/>
    <w:rsid w:val="00DE67F6"/>
    <w:rsid w:val="00DF4691"/>
    <w:rsid w:val="00DF78BD"/>
    <w:rsid w:val="00E00D67"/>
    <w:rsid w:val="00E20C72"/>
    <w:rsid w:val="00E23001"/>
    <w:rsid w:val="00E260EE"/>
    <w:rsid w:val="00E34083"/>
    <w:rsid w:val="00E345E3"/>
    <w:rsid w:val="00E41275"/>
    <w:rsid w:val="00E57EB0"/>
    <w:rsid w:val="00E67D60"/>
    <w:rsid w:val="00E70D9A"/>
    <w:rsid w:val="00E8579E"/>
    <w:rsid w:val="00E9415A"/>
    <w:rsid w:val="00EA0B82"/>
    <w:rsid w:val="00EA727D"/>
    <w:rsid w:val="00EB0911"/>
    <w:rsid w:val="00EB2D4F"/>
    <w:rsid w:val="00EB47DD"/>
    <w:rsid w:val="00EC085E"/>
    <w:rsid w:val="00EC0F67"/>
    <w:rsid w:val="00EC6008"/>
    <w:rsid w:val="00ED2B32"/>
    <w:rsid w:val="00ED36DF"/>
    <w:rsid w:val="00EE366E"/>
    <w:rsid w:val="00EE4324"/>
    <w:rsid w:val="00F16B3F"/>
    <w:rsid w:val="00F66D50"/>
    <w:rsid w:val="00F95757"/>
    <w:rsid w:val="00F96BEC"/>
    <w:rsid w:val="00F9714F"/>
    <w:rsid w:val="00FA663F"/>
    <w:rsid w:val="00FC74E6"/>
    <w:rsid w:val="00FD4EB6"/>
    <w:rsid w:val="00FD7753"/>
    <w:rsid w:val="00FE5D9D"/>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B619F6"/>
    <w:rPr>
      <w:rFonts w:ascii="Perpetua Std" w:hAnsi="Perpetua Std"/>
    </w:rPr>
  </w:style>
  <w:style w:type="paragraph" w:styleId="Heading1">
    <w:name w:val="heading 1"/>
    <w:basedOn w:val="Normal"/>
    <w:next w:val="Normal"/>
    <w:link w:val="Heading1Char"/>
    <w:qFormat/>
    <w:rsid w:val="00B619F6"/>
    <w:pPr>
      <w:keepNext/>
      <w:outlineLvl w:val="0"/>
    </w:pPr>
    <w:rPr>
      <w:b/>
    </w:rPr>
  </w:style>
  <w:style w:type="paragraph" w:styleId="Heading2">
    <w:name w:val="heading 2"/>
    <w:basedOn w:val="Normal"/>
    <w:next w:val="Normal"/>
    <w:link w:val="Heading2Char"/>
    <w:qFormat/>
    <w:rsid w:val="00B619F6"/>
    <w:pPr>
      <w:keepNext/>
      <w:spacing w:before="240" w:after="60"/>
      <w:outlineLvl w:val="1"/>
    </w:pPr>
    <w:rPr>
      <w:rFonts w:ascii="Arial" w:hAnsi="Arial"/>
      <w:b/>
      <w:i/>
      <w:sz w:val="24"/>
    </w:rPr>
  </w:style>
  <w:style w:type="paragraph" w:styleId="Heading3">
    <w:name w:val="heading 3"/>
    <w:basedOn w:val="Normal"/>
    <w:next w:val="Normal"/>
    <w:link w:val="Heading3Char"/>
    <w:qFormat/>
    <w:rsid w:val="00B619F6"/>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B619F6"/>
    <w:pPr>
      <w:spacing w:after="240"/>
      <w:jc w:val="both"/>
    </w:pPr>
    <w:rPr>
      <w:rFonts w:ascii="Helvetica LT Std" w:hAnsi="Helvetica LT Std"/>
      <w:b/>
      <w:color w:val="000000"/>
      <w:sz w:val="26"/>
    </w:rPr>
  </w:style>
  <w:style w:type="paragraph" w:customStyle="1" w:styleId="PA">
    <w:name w:val="PA"/>
    <w:next w:val="Normal"/>
    <w:link w:val="PAChar"/>
    <w:rsid w:val="00B619F6"/>
    <w:pPr>
      <w:spacing w:after="240"/>
      <w:ind w:firstLine="288"/>
      <w:jc w:val="both"/>
    </w:pPr>
    <w:rPr>
      <w:rFonts w:ascii="Perpetua Std" w:hAnsi="Perpetua Std"/>
      <w:color w:val="000000"/>
      <w:sz w:val="24"/>
    </w:rPr>
  </w:style>
  <w:style w:type="character" w:customStyle="1" w:styleId="PAChar">
    <w:name w:val="PA Char"/>
    <w:link w:val="PA"/>
    <w:rsid w:val="00B619F6"/>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B619F6"/>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B619F6"/>
    <w:pPr>
      <w:tabs>
        <w:tab w:val="left" w:pos="720"/>
      </w:tabs>
      <w:spacing w:after="240"/>
      <w:ind w:left="720" w:hanging="360"/>
      <w:jc w:val="both"/>
    </w:pPr>
    <w:rPr>
      <w:rFonts w:ascii="Perpetua Std" w:hAnsi="Perpetua Std"/>
      <w:color w:val="000000"/>
      <w:sz w:val="24"/>
    </w:rPr>
  </w:style>
  <w:style w:type="paragraph" w:customStyle="1" w:styleId="HD">
    <w:name w:val="HD"/>
    <w:rsid w:val="00B619F6"/>
    <w:pPr>
      <w:suppressAutoHyphens/>
      <w:spacing w:before="120"/>
      <w:jc w:val="center"/>
    </w:pPr>
    <w:rPr>
      <w:rFonts w:ascii="Helvetica LT Std" w:hAnsi="Helvetica LT Std"/>
      <w:sz w:val="26"/>
      <w:szCs w:val="18"/>
    </w:rPr>
  </w:style>
  <w:style w:type="paragraph" w:customStyle="1" w:styleId="PN">
    <w:name w:val="PN"/>
    <w:rsid w:val="00B619F6"/>
    <w:pPr>
      <w:spacing w:after="240"/>
      <w:ind w:left="720" w:firstLine="288"/>
      <w:jc w:val="both"/>
    </w:pPr>
    <w:rPr>
      <w:rFonts w:ascii="Perpetua Std" w:eastAsia="MS Mincho" w:hAnsi="Perpetua Std"/>
      <w:color w:val="000000"/>
    </w:rPr>
  </w:style>
  <w:style w:type="paragraph" w:customStyle="1" w:styleId="PB">
    <w:name w:val="PB"/>
    <w:rsid w:val="00B619F6"/>
    <w:pPr>
      <w:spacing w:after="240"/>
      <w:jc w:val="both"/>
    </w:pPr>
    <w:rPr>
      <w:rFonts w:ascii="Perpetua Std" w:hAnsi="Perpetua Std"/>
      <w:color w:val="000000"/>
      <w:sz w:val="24"/>
    </w:rPr>
  </w:style>
  <w:style w:type="paragraph" w:customStyle="1" w:styleId="PQ">
    <w:name w:val="PQ"/>
    <w:link w:val="PQChar"/>
    <w:rsid w:val="00B619F6"/>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B619F6"/>
    <w:rPr>
      <w:rFonts w:ascii="Adobe Caslon Pro" w:hAnsi="Adobe Caslon Pro"/>
      <w:color w:val="000000"/>
      <w:sz w:val="14"/>
    </w:rPr>
  </w:style>
  <w:style w:type="paragraph" w:customStyle="1" w:styleId="PF">
    <w:name w:val="PF"/>
    <w:rsid w:val="00B619F6"/>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B619F6"/>
    <w:pPr>
      <w:spacing w:before="120" w:after="120"/>
      <w:jc w:val="center"/>
    </w:pPr>
    <w:rPr>
      <w:rFonts w:ascii="Helvetica LT Std" w:hAnsi="Helvetica LT Std"/>
      <w:sz w:val="24"/>
    </w:rPr>
  </w:style>
  <w:style w:type="table" w:styleId="TableGrid">
    <w:name w:val="Table Grid"/>
    <w:basedOn w:val="TableNormal"/>
    <w:rsid w:val="00B6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B619F6"/>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B619F6"/>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B619F6"/>
    <w:pPr>
      <w:spacing w:before="144"/>
      <w:jc w:val="both"/>
    </w:pPr>
    <w:rPr>
      <w:noProof/>
    </w:rPr>
  </w:style>
  <w:style w:type="paragraph" w:customStyle="1" w:styleId="PD">
    <w:name w:val="PD"/>
    <w:rsid w:val="00B619F6"/>
    <w:pPr>
      <w:spacing w:after="240"/>
      <w:ind w:left="720" w:firstLine="288"/>
      <w:jc w:val="both"/>
    </w:pPr>
    <w:rPr>
      <w:rFonts w:ascii="Perpetua Std" w:hAnsi="Perpetua Std"/>
      <w:color w:val="000000"/>
      <w:sz w:val="24"/>
    </w:rPr>
  </w:style>
  <w:style w:type="paragraph" w:customStyle="1" w:styleId="PE">
    <w:name w:val="PE"/>
    <w:rsid w:val="00B619F6"/>
    <w:pPr>
      <w:spacing w:after="240"/>
      <w:ind w:left="720"/>
      <w:jc w:val="both"/>
    </w:pPr>
    <w:rPr>
      <w:rFonts w:ascii="Perpetua Std" w:hAnsi="Perpetua Std"/>
      <w:color w:val="000000"/>
      <w:sz w:val="24"/>
    </w:rPr>
  </w:style>
  <w:style w:type="paragraph" w:customStyle="1" w:styleId="PG">
    <w:name w:val="PG"/>
    <w:rsid w:val="00B619F6"/>
    <w:pPr>
      <w:spacing w:after="240"/>
      <w:ind w:left="360"/>
      <w:jc w:val="both"/>
    </w:pPr>
    <w:rPr>
      <w:rFonts w:ascii="Perpetua Std" w:hAnsi="Perpetua Std"/>
      <w:color w:val="000000"/>
      <w:sz w:val="24"/>
    </w:rPr>
  </w:style>
  <w:style w:type="paragraph" w:customStyle="1" w:styleId="PH">
    <w:name w:val="PH"/>
    <w:rsid w:val="00B619F6"/>
    <w:pPr>
      <w:tabs>
        <w:tab w:val="left" w:pos="360"/>
      </w:tabs>
      <w:spacing w:after="240"/>
      <w:ind w:left="360" w:hanging="360"/>
      <w:jc w:val="both"/>
    </w:pPr>
    <w:rPr>
      <w:rFonts w:ascii="Perpetua Std" w:hAnsi="Perpetua Std"/>
      <w:color w:val="000000"/>
      <w:sz w:val="24"/>
    </w:rPr>
  </w:style>
  <w:style w:type="paragraph" w:customStyle="1" w:styleId="PI">
    <w:name w:val="PI"/>
    <w:rsid w:val="00B619F6"/>
    <w:pPr>
      <w:spacing w:after="240"/>
      <w:ind w:left="360" w:hanging="360"/>
      <w:jc w:val="both"/>
    </w:pPr>
    <w:rPr>
      <w:rFonts w:ascii="Perpetua Std" w:hAnsi="Perpetua Std"/>
      <w:color w:val="000000"/>
      <w:sz w:val="24"/>
    </w:rPr>
  </w:style>
  <w:style w:type="paragraph" w:customStyle="1" w:styleId="PK">
    <w:name w:val="PK"/>
    <w:rsid w:val="00B619F6"/>
    <w:pPr>
      <w:spacing w:after="240"/>
      <w:ind w:left="360" w:firstLine="288"/>
      <w:jc w:val="both"/>
    </w:pPr>
    <w:rPr>
      <w:rFonts w:ascii="Perpetua Std" w:hAnsi="Perpetua Std"/>
      <w:color w:val="000000"/>
      <w:sz w:val="24"/>
    </w:rPr>
  </w:style>
  <w:style w:type="paragraph" w:customStyle="1" w:styleId="PL">
    <w:name w:val="PL"/>
    <w:rsid w:val="00B619F6"/>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B619F6"/>
    <w:pPr>
      <w:spacing w:after="240"/>
      <w:ind w:left="432" w:right="432" w:firstLine="432"/>
      <w:jc w:val="both"/>
    </w:pPr>
    <w:rPr>
      <w:rFonts w:ascii="Minion Pro" w:hAnsi="Minion Pro"/>
    </w:rPr>
  </w:style>
  <w:style w:type="paragraph" w:customStyle="1" w:styleId="TOC">
    <w:name w:val="TOC"/>
    <w:autoRedefine/>
    <w:rsid w:val="00B619F6"/>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B619F6"/>
    <w:pPr>
      <w:tabs>
        <w:tab w:val="clear" w:pos="1440"/>
        <w:tab w:val="clear" w:pos="8640"/>
        <w:tab w:val="left" w:pos="240"/>
        <w:tab w:val="left" w:pos="480"/>
        <w:tab w:val="right" w:leader="dot" w:pos="4680"/>
      </w:tabs>
      <w:ind w:left="0" w:firstLine="0"/>
    </w:pPr>
    <w:rPr>
      <w:sz w:val="22"/>
    </w:rPr>
  </w:style>
  <w:style w:type="paragraph" w:customStyle="1" w:styleId="PP">
    <w:name w:val="PP"/>
    <w:rsid w:val="00B619F6"/>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B619F6"/>
    <w:pPr>
      <w:spacing w:after="240"/>
      <w:jc w:val="center"/>
    </w:pPr>
    <w:rPr>
      <w:rFonts w:ascii="Helvetica LT Std" w:hAnsi="Helvetica LT Std"/>
      <w:b/>
      <w:caps/>
      <w:color w:val="000000"/>
      <w:sz w:val="36"/>
      <w:szCs w:val="32"/>
    </w:rPr>
  </w:style>
  <w:style w:type="paragraph" w:customStyle="1" w:styleId="HB">
    <w:name w:val="HB"/>
    <w:rsid w:val="00B619F6"/>
    <w:pPr>
      <w:spacing w:before="120" w:after="240"/>
      <w:jc w:val="center"/>
    </w:pPr>
    <w:rPr>
      <w:rFonts w:ascii="Helvetica LT Std" w:hAnsi="Helvetica LT Std"/>
      <w:b/>
      <w:color w:val="5F5F5F"/>
      <w:w w:val="105"/>
      <w:sz w:val="32"/>
    </w:rPr>
  </w:style>
  <w:style w:type="paragraph" w:customStyle="1" w:styleId="HC">
    <w:name w:val="HC"/>
    <w:autoRedefine/>
    <w:rsid w:val="00B619F6"/>
    <w:pPr>
      <w:tabs>
        <w:tab w:val="left" w:pos="284"/>
      </w:tabs>
      <w:spacing w:before="120" w:after="120"/>
      <w:jc w:val="center"/>
    </w:pPr>
    <w:rPr>
      <w:rFonts w:ascii="Helvetica LT Std" w:hAnsi="Helvetica LT Std"/>
      <w:b/>
      <w:color w:val="000000"/>
      <w:w w:val="110"/>
      <w:sz w:val="26"/>
    </w:rPr>
  </w:style>
  <w:style w:type="paragraph" w:customStyle="1" w:styleId="PR">
    <w:name w:val="PR"/>
    <w:rsid w:val="00B619F6"/>
    <w:pPr>
      <w:spacing w:after="240"/>
      <w:ind w:left="360" w:firstLine="288"/>
      <w:jc w:val="both"/>
    </w:pPr>
    <w:rPr>
      <w:rFonts w:ascii="Adobe Caslon Pro" w:hAnsi="Adobe Caslon Pro"/>
      <w:color w:val="000000"/>
      <w:sz w:val="14"/>
    </w:rPr>
  </w:style>
  <w:style w:type="paragraph" w:customStyle="1" w:styleId="PO">
    <w:name w:val="PO"/>
    <w:rsid w:val="00B619F6"/>
    <w:pPr>
      <w:spacing w:after="240"/>
      <w:jc w:val="both"/>
    </w:pPr>
    <w:rPr>
      <w:rFonts w:ascii="Perpetua Std" w:hAnsi="Perpetua Std"/>
      <w:color w:val="000000"/>
      <w:w w:val="95"/>
      <w:szCs w:val="16"/>
    </w:rPr>
  </w:style>
  <w:style w:type="paragraph" w:customStyle="1" w:styleId="GUIDEX">
    <w:name w:val="GUIDEX"/>
    <w:rsid w:val="00B619F6"/>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B619F6"/>
    <w:pPr>
      <w:tabs>
        <w:tab w:val="clear" w:pos="240"/>
        <w:tab w:val="clear" w:pos="480"/>
        <w:tab w:val="clear" w:pos="720"/>
        <w:tab w:val="right" w:pos="4680"/>
      </w:tabs>
    </w:pPr>
  </w:style>
  <w:style w:type="paragraph" w:customStyle="1" w:styleId="PCB">
    <w:name w:val="PCB"/>
    <w:autoRedefine/>
    <w:rsid w:val="00B619F6"/>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B619F6"/>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B619F6"/>
    <w:rPr>
      <w:rFonts w:ascii="Perpetua Std" w:hAnsi="Perpetua Std"/>
    </w:rPr>
  </w:style>
  <w:style w:type="paragraph" w:styleId="NoSpacing">
    <w:name w:val="No Spacing"/>
    <w:qFormat/>
    <w:rsid w:val="00B619F6"/>
    <w:rPr>
      <w:rFonts w:ascii="Perpetua" w:hAnsi="Perpetua"/>
    </w:rPr>
  </w:style>
  <w:style w:type="paragraph" w:customStyle="1" w:styleId="PCA">
    <w:name w:val="PCA"/>
    <w:rsid w:val="00B619F6"/>
    <w:pPr>
      <w:numPr>
        <w:numId w:val="29"/>
      </w:numPr>
      <w:tabs>
        <w:tab w:val="left" w:pos="720"/>
      </w:tabs>
      <w:spacing w:after="240"/>
      <w:jc w:val="both"/>
    </w:pPr>
    <w:rPr>
      <w:rFonts w:ascii="Perpetua Std" w:hAnsi="Perpetua Std"/>
      <w:sz w:val="24"/>
    </w:rPr>
  </w:style>
  <w:style w:type="paragraph" w:customStyle="1" w:styleId="PHB">
    <w:name w:val="PHB"/>
    <w:rsid w:val="00B619F6"/>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B619F6"/>
    <w:rPr>
      <w:rFonts w:ascii="Perpetua Std" w:eastAsia="MS Mincho" w:hAnsi="Perpetua Std"/>
      <w:color w:val="000000"/>
      <w:sz w:val="22"/>
    </w:rPr>
  </w:style>
  <w:style w:type="paragraph" w:styleId="EndnoteText">
    <w:name w:val="endnote text"/>
    <w:basedOn w:val="Normal"/>
    <w:link w:val="EndnoteTextChar"/>
    <w:semiHidden/>
    <w:unhideWhenUsed/>
    <w:rsid w:val="00FD4EB6"/>
  </w:style>
  <w:style w:type="character" w:customStyle="1" w:styleId="EndnoteTextChar">
    <w:name w:val="Endnote Text Char"/>
    <w:basedOn w:val="DefaultParagraphFont"/>
    <w:link w:val="EndnoteText"/>
    <w:semiHidden/>
    <w:rsid w:val="00FD4EB6"/>
    <w:rPr>
      <w:rFonts w:ascii="Perpetua Std" w:hAnsi="Perpetua Std"/>
    </w:rPr>
  </w:style>
  <w:style w:type="character" w:styleId="EndnoteReference">
    <w:name w:val="endnote reference"/>
    <w:basedOn w:val="DefaultParagraphFont"/>
    <w:semiHidden/>
    <w:unhideWhenUsed/>
    <w:rsid w:val="00FD4E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B619F6"/>
    <w:rPr>
      <w:rFonts w:ascii="Perpetua Std" w:hAnsi="Perpetua Std"/>
    </w:rPr>
  </w:style>
  <w:style w:type="paragraph" w:styleId="Heading1">
    <w:name w:val="heading 1"/>
    <w:basedOn w:val="Normal"/>
    <w:next w:val="Normal"/>
    <w:link w:val="Heading1Char"/>
    <w:qFormat/>
    <w:rsid w:val="00B619F6"/>
    <w:pPr>
      <w:keepNext/>
      <w:outlineLvl w:val="0"/>
    </w:pPr>
    <w:rPr>
      <w:b/>
    </w:rPr>
  </w:style>
  <w:style w:type="paragraph" w:styleId="Heading2">
    <w:name w:val="heading 2"/>
    <w:basedOn w:val="Normal"/>
    <w:next w:val="Normal"/>
    <w:link w:val="Heading2Char"/>
    <w:qFormat/>
    <w:rsid w:val="00B619F6"/>
    <w:pPr>
      <w:keepNext/>
      <w:spacing w:before="240" w:after="60"/>
      <w:outlineLvl w:val="1"/>
    </w:pPr>
    <w:rPr>
      <w:rFonts w:ascii="Arial" w:hAnsi="Arial"/>
      <w:b/>
      <w:i/>
      <w:sz w:val="24"/>
    </w:rPr>
  </w:style>
  <w:style w:type="paragraph" w:styleId="Heading3">
    <w:name w:val="heading 3"/>
    <w:basedOn w:val="Normal"/>
    <w:next w:val="Normal"/>
    <w:link w:val="Heading3Char"/>
    <w:qFormat/>
    <w:rsid w:val="00B619F6"/>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B619F6"/>
    <w:pPr>
      <w:spacing w:after="240"/>
      <w:jc w:val="both"/>
    </w:pPr>
    <w:rPr>
      <w:rFonts w:ascii="Helvetica LT Std" w:hAnsi="Helvetica LT Std"/>
      <w:b/>
      <w:color w:val="000000"/>
      <w:sz w:val="26"/>
    </w:rPr>
  </w:style>
  <w:style w:type="paragraph" w:customStyle="1" w:styleId="PA">
    <w:name w:val="PA"/>
    <w:next w:val="Normal"/>
    <w:link w:val="PAChar"/>
    <w:rsid w:val="00B619F6"/>
    <w:pPr>
      <w:spacing w:after="240"/>
      <w:ind w:firstLine="288"/>
      <w:jc w:val="both"/>
    </w:pPr>
    <w:rPr>
      <w:rFonts w:ascii="Perpetua Std" w:hAnsi="Perpetua Std"/>
      <w:color w:val="000000"/>
      <w:sz w:val="24"/>
    </w:rPr>
  </w:style>
  <w:style w:type="character" w:customStyle="1" w:styleId="PAChar">
    <w:name w:val="PA Char"/>
    <w:link w:val="PA"/>
    <w:rsid w:val="00B619F6"/>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B619F6"/>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B619F6"/>
    <w:pPr>
      <w:tabs>
        <w:tab w:val="left" w:pos="720"/>
      </w:tabs>
      <w:spacing w:after="240"/>
      <w:ind w:left="720" w:hanging="360"/>
      <w:jc w:val="both"/>
    </w:pPr>
    <w:rPr>
      <w:rFonts w:ascii="Perpetua Std" w:hAnsi="Perpetua Std"/>
      <w:color w:val="000000"/>
      <w:sz w:val="24"/>
    </w:rPr>
  </w:style>
  <w:style w:type="paragraph" w:customStyle="1" w:styleId="HD">
    <w:name w:val="HD"/>
    <w:rsid w:val="00B619F6"/>
    <w:pPr>
      <w:suppressAutoHyphens/>
      <w:spacing w:before="120"/>
      <w:jc w:val="center"/>
    </w:pPr>
    <w:rPr>
      <w:rFonts w:ascii="Helvetica LT Std" w:hAnsi="Helvetica LT Std"/>
      <w:sz w:val="26"/>
      <w:szCs w:val="18"/>
    </w:rPr>
  </w:style>
  <w:style w:type="paragraph" w:customStyle="1" w:styleId="PN">
    <w:name w:val="PN"/>
    <w:rsid w:val="00B619F6"/>
    <w:pPr>
      <w:spacing w:after="240"/>
      <w:ind w:left="720" w:firstLine="288"/>
      <w:jc w:val="both"/>
    </w:pPr>
    <w:rPr>
      <w:rFonts w:ascii="Perpetua Std" w:eastAsia="MS Mincho" w:hAnsi="Perpetua Std"/>
      <w:color w:val="000000"/>
    </w:rPr>
  </w:style>
  <w:style w:type="paragraph" w:customStyle="1" w:styleId="PB">
    <w:name w:val="PB"/>
    <w:rsid w:val="00B619F6"/>
    <w:pPr>
      <w:spacing w:after="240"/>
      <w:jc w:val="both"/>
    </w:pPr>
    <w:rPr>
      <w:rFonts w:ascii="Perpetua Std" w:hAnsi="Perpetua Std"/>
      <w:color w:val="000000"/>
      <w:sz w:val="24"/>
    </w:rPr>
  </w:style>
  <w:style w:type="paragraph" w:customStyle="1" w:styleId="PQ">
    <w:name w:val="PQ"/>
    <w:link w:val="PQChar"/>
    <w:rsid w:val="00B619F6"/>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B619F6"/>
    <w:rPr>
      <w:rFonts w:ascii="Adobe Caslon Pro" w:hAnsi="Adobe Caslon Pro"/>
      <w:color w:val="000000"/>
      <w:sz w:val="14"/>
    </w:rPr>
  </w:style>
  <w:style w:type="paragraph" w:customStyle="1" w:styleId="PF">
    <w:name w:val="PF"/>
    <w:rsid w:val="00B619F6"/>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B619F6"/>
    <w:pPr>
      <w:spacing w:before="120" w:after="120"/>
      <w:jc w:val="center"/>
    </w:pPr>
    <w:rPr>
      <w:rFonts w:ascii="Helvetica LT Std" w:hAnsi="Helvetica LT Std"/>
      <w:sz w:val="24"/>
    </w:rPr>
  </w:style>
  <w:style w:type="table" w:styleId="TableGrid">
    <w:name w:val="Table Grid"/>
    <w:basedOn w:val="TableNormal"/>
    <w:rsid w:val="00B6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B619F6"/>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B619F6"/>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B619F6"/>
    <w:pPr>
      <w:spacing w:before="144"/>
      <w:jc w:val="both"/>
    </w:pPr>
    <w:rPr>
      <w:noProof/>
    </w:rPr>
  </w:style>
  <w:style w:type="paragraph" w:customStyle="1" w:styleId="PD">
    <w:name w:val="PD"/>
    <w:rsid w:val="00B619F6"/>
    <w:pPr>
      <w:spacing w:after="240"/>
      <w:ind w:left="720" w:firstLine="288"/>
      <w:jc w:val="both"/>
    </w:pPr>
    <w:rPr>
      <w:rFonts w:ascii="Perpetua Std" w:hAnsi="Perpetua Std"/>
      <w:color w:val="000000"/>
      <w:sz w:val="24"/>
    </w:rPr>
  </w:style>
  <w:style w:type="paragraph" w:customStyle="1" w:styleId="PE">
    <w:name w:val="PE"/>
    <w:rsid w:val="00B619F6"/>
    <w:pPr>
      <w:spacing w:after="240"/>
      <w:ind w:left="720"/>
      <w:jc w:val="both"/>
    </w:pPr>
    <w:rPr>
      <w:rFonts w:ascii="Perpetua Std" w:hAnsi="Perpetua Std"/>
      <w:color w:val="000000"/>
      <w:sz w:val="24"/>
    </w:rPr>
  </w:style>
  <w:style w:type="paragraph" w:customStyle="1" w:styleId="PG">
    <w:name w:val="PG"/>
    <w:rsid w:val="00B619F6"/>
    <w:pPr>
      <w:spacing w:after="240"/>
      <w:ind w:left="360"/>
      <w:jc w:val="both"/>
    </w:pPr>
    <w:rPr>
      <w:rFonts w:ascii="Perpetua Std" w:hAnsi="Perpetua Std"/>
      <w:color w:val="000000"/>
      <w:sz w:val="24"/>
    </w:rPr>
  </w:style>
  <w:style w:type="paragraph" w:customStyle="1" w:styleId="PH">
    <w:name w:val="PH"/>
    <w:rsid w:val="00B619F6"/>
    <w:pPr>
      <w:tabs>
        <w:tab w:val="left" w:pos="360"/>
      </w:tabs>
      <w:spacing w:after="240"/>
      <w:ind w:left="360" w:hanging="360"/>
      <w:jc w:val="both"/>
    </w:pPr>
    <w:rPr>
      <w:rFonts w:ascii="Perpetua Std" w:hAnsi="Perpetua Std"/>
      <w:color w:val="000000"/>
      <w:sz w:val="24"/>
    </w:rPr>
  </w:style>
  <w:style w:type="paragraph" w:customStyle="1" w:styleId="PI">
    <w:name w:val="PI"/>
    <w:rsid w:val="00B619F6"/>
    <w:pPr>
      <w:spacing w:after="240"/>
      <w:ind w:left="360" w:hanging="360"/>
      <w:jc w:val="both"/>
    </w:pPr>
    <w:rPr>
      <w:rFonts w:ascii="Perpetua Std" w:hAnsi="Perpetua Std"/>
      <w:color w:val="000000"/>
      <w:sz w:val="24"/>
    </w:rPr>
  </w:style>
  <w:style w:type="paragraph" w:customStyle="1" w:styleId="PK">
    <w:name w:val="PK"/>
    <w:rsid w:val="00B619F6"/>
    <w:pPr>
      <w:spacing w:after="240"/>
      <w:ind w:left="360" w:firstLine="288"/>
      <w:jc w:val="both"/>
    </w:pPr>
    <w:rPr>
      <w:rFonts w:ascii="Perpetua Std" w:hAnsi="Perpetua Std"/>
      <w:color w:val="000000"/>
      <w:sz w:val="24"/>
    </w:rPr>
  </w:style>
  <w:style w:type="paragraph" w:customStyle="1" w:styleId="PL">
    <w:name w:val="PL"/>
    <w:rsid w:val="00B619F6"/>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B619F6"/>
    <w:pPr>
      <w:spacing w:after="240"/>
      <w:ind w:left="432" w:right="432" w:firstLine="432"/>
      <w:jc w:val="both"/>
    </w:pPr>
    <w:rPr>
      <w:rFonts w:ascii="Minion Pro" w:hAnsi="Minion Pro"/>
    </w:rPr>
  </w:style>
  <w:style w:type="paragraph" w:customStyle="1" w:styleId="TOC">
    <w:name w:val="TOC"/>
    <w:autoRedefine/>
    <w:rsid w:val="00B619F6"/>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B619F6"/>
    <w:pPr>
      <w:tabs>
        <w:tab w:val="clear" w:pos="1440"/>
        <w:tab w:val="clear" w:pos="8640"/>
        <w:tab w:val="left" w:pos="240"/>
        <w:tab w:val="left" w:pos="480"/>
        <w:tab w:val="right" w:leader="dot" w:pos="4680"/>
      </w:tabs>
      <w:ind w:left="0" w:firstLine="0"/>
    </w:pPr>
    <w:rPr>
      <w:sz w:val="22"/>
    </w:rPr>
  </w:style>
  <w:style w:type="paragraph" w:customStyle="1" w:styleId="PP">
    <w:name w:val="PP"/>
    <w:rsid w:val="00B619F6"/>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B619F6"/>
    <w:pPr>
      <w:spacing w:after="240"/>
      <w:jc w:val="center"/>
    </w:pPr>
    <w:rPr>
      <w:rFonts w:ascii="Helvetica LT Std" w:hAnsi="Helvetica LT Std"/>
      <w:b/>
      <w:caps/>
      <w:color w:val="000000"/>
      <w:sz w:val="36"/>
      <w:szCs w:val="32"/>
    </w:rPr>
  </w:style>
  <w:style w:type="paragraph" w:customStyle="1" w:styleId="HB">
    <w:name w:val="HB"/>
    <w:rsid w:val="00B619F6"/>
    <w:pPr>
      <w:spacing w:before="120" w:after="240"/>
      <w:jc w:val="center"/>
    </w:pPr>
    <w:rPr>
      <w:rFonts w:ascii="Helvetica LT Std" w:hAnsi="Helvetica LT Std"/>
      <w:b/>
      <w:color w:val="5F5F5F"/>
      <w:w w:val="105"/>
      <w:sz w:val="32"/>
    </w:rPr>
  </w:style>
  <w:style w:type="paragraph" w:customStyle="1" w:styleId="HC">
    <w:name w:val="HC"/>
    <w:autoRedefine/>
    <w:rsid w:val="00B619F6"/>
    <w:pPr>
      <w:tabs>
        <w:tab w:val="left" w:pos="284"/>
      </w:tabs>
      <w:spacing w:before="120" w:after="120"/>
      <w:jc w:val="center"/>
    </w:pPr>
    <w:rPr>
      <w:rFonts w:ascii="Helvetica LT Std" w:hAnsi="Helvetica LT Std"/>
      <w:b/>
      <w:color w:val="000000"/>
      <w:w w:val="110"/>
      <w:sz w:val="26"/>
    </w:rPr>
  </w:style>
  <w:style w:type="paragraph" w:customStyle="1" w:styleId="PR">
    <w:name w:val="PR"/>
    <w:rsid w:val="00B619F6"/>
    <w:pPr>
      <w:spacing w:after="240"/>
      <w:ind w:left="360" w:firstLine="288"/>
      <w:jc w:val="both"/>
    </w:pPr>
    <w:rPr>
      <w:rFonts w:ascii="Adobe Caslon Pro" w:hAnsi="Adobe Caslon Pro"/>
      <w:color w:val="000000"/>
      <w:sz w:val="14"/>
    </w:rPr>
  </w:style>
  <w:style w:type="paragraph" w:customStyle="1" w:styleId="PO">
    <w:name w:val="PO"/>
    <w:rsid w:val="00B619F6"/>
    <w:pPr>
      <w:spacing w:after="240"/>
      <w:jc w:val="both"/>
    </w:pPr>
    <w:rPr>
      <w:rFonts w:ascii="Perpetua Std" w:hAnsi="Perpetua Std"/>
      <w:color w:val="000000"/>
      <w:w w:val="95"/>
      <w:szCs w:val="16"/>
    </w:rPr>
  </w:style>
  <w:style w:type="paragraph" w:customStyle="1" w:styleId="GUIDEX">
    <w:name w:val="GUIDEX"/>
    <w:rsid w:val="00B619F6"/>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B619F6"/>
    <w:pPr>
      <w:tabs>
        <w:tab w:val="clear" w:pos="240"/>
        <w:tab w:val="clear" w:pos="480"/>
        <w:tab w:val="clear" w:pos="720"/>
        <w:tab w:val="right" w:pos="4680"/>
      </w:tabs>
    </w:pPr>
  </w:style>
  <w:style w:type="paragraph" w:customStyle="1" w:styleId="PCB">
    <w:name w:val="PCB"/>
    <w:autoRedefine/>
    <w:rsid w:val="00B619F6"/>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B619F6"/>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B619F6"/>
    <w:rPr>
      <w:rFonts w:ascii="Perpetua Std" w:hAnsi="Perpetua Std"/>
    </w:rPr>
  </w:style>
  <w:style w:type="paragraph" w:styleId="NoSpacing">
    <w:name w:val="No Spacing"/>
    <w:qFormat/>
    <w:rsid w:val="00B619F6"/>
    <w:rPr>
      <w:rFonts w:ascii="Perpetua" w:hAnsi="Perpetua"/>
    </w:rPr>
  </w:style>
  <w:style w:type="paragraph" w:customStyle="1" w:styleId="PCA">
    <w:name w:val="PCA"/>
    <w:rsid w:val="00B619F6"/>
    <w:pPr>
      <w:numPr>
        <w:numId w:val="29"/>
      </w:numPr>
      <w:tabs>
        <w:tab w:val="left" w:pos="720"/>
      </w:tabs>
      <w:spacing w:after="240"/>
      <w:jc w:val="both"/>
    </w:pPr>
    <w:rPr>
      <w:rFonts w:ascii="Perpetua Std" w:hAnsi="Perpetua Std"/>
      <w:sz w:val="24"/>
    </w:rPr>
  </w:style>
  <w:style w:type="paragraph" w:customStyle="1" w:styleId="PHB">
    <w:name w:val="PHB"/>
    <w:rsid w:val="00B619F6"/>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B619F6"/>
    <w:rPr>
      <w:rFonts w:ascii="Perpetua Std" w:eastAsia="MS Mincho" w:hAnsi="Perpetua Std"/>
      <w:color w:val="000000"/>
      <w:sz w:val="22"/>
    </w:rPr>
  </w:style>
  <w:style w:type="paragraph" w:styleId="EndnoteText">
    <w:name w:val="endnote text"/>
    <w:basedOn w:val="Normal"/>
    <w:link w:val="EndnoteTextChar"/>
    <w:semiHidden/>
    <w:unhideWhenUsed/>
    <w:rsid w:val="00FD4EB6"/>
  </w:style>
  <w:style w:type="character" w:customStyle="1" w:styleId="EndnoteTextChar">
    <w:name w:val="Endnote Text Char"/>
    <w:basedOn w:val="DefaultParagraphFont"/>
    <w:link w:val="EndnoteText"/>
    <w:semiHidden/>
    <w:rsid w:val="00FD4EB6"/>
    <w:rPr>
      <w:rFonts w:ascii="Perpetua Std" w:hAnsi="Perpetua Std"/>
    </w:rPr>
  </w:style>
  <w:style w:type="character" w:styleId="EndnoteReference">
    <w:name w:val="endnote reference"/>
    <w:basedOn w:val="DefaultParagraphFont"/>
    <w:semiHidden/>
    <w:unhideWhenUsed/>
    <w:rsid w:val="00FD4E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25698-6BBF-4E33-AEFD-01AE0310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1</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8514. How is the dependency exemption for qualifying children determined when the parents of the child are divorced or have never been married?</vt:lpstr>
    </vt:vector>
  </TitlesOfParts>
  <Company>Summit Business Media</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8514. How is the dependency exemption for qualifying children determined when the parents of the child are divorced or have never been married?</dc:title>
  <dc:creator>Alexis Long</dc:creator>
  <cp:lastModifiedBy>rcline</cp:lastModifiedBy>
  <cp:revision>2</cp:revision>
  <cp:lastPrinted>2014-08-12T19:32:00Z</cp:lastPrinted>
  <dcterms:created xsi:type="dcterms:W3CDTF">2014-08-20T14:46:00Z</dcterms:created>
  <dcterms:modified xsi:type="dcterms:W3CDTF">2014-08-20T14:46:00Z</dcterms:modified>
</cp:coreProperties>
</file>