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04" w:rsidRDefault="00816804" w:rsidP="009F75A1">
      <w:pPr>
        <w:pStyle w:val="PA"/>
        <w:suppressAutoHyphens/>
        <w:rPr>
          <w:szCs w:val="24"/>
        </w:rPr>
      </w:pPr>
      <w:r w:rsidRPr="00816804">
        <w:rPr>
          <w:b/>
          <w:color w:val="auto"/>
          <w:szCs w:val="24"/>
        </w:rPr>
        <w:t xml:space="preserve">8512.  </w:t>
      </w:r>
      <w:r w:rsidR="00B13B09">
        <w:rPr>
          <w:b/>
          <w:color w:val="auto"/>
          <w:szCs w:val="24"/>
        </w:rPr>
        <w:t xml:space="preserve">Are personal and dependency exemptions for </w:t>
      </w:r>
      <w:r w:rsidRPr="00816804">
        <w:rPr>
          <w:b/>
          <w:color w:val="auto"/>
          <w:szCs w:val="24"/>
        </w:rPr>
        <w:t xml:space="preserve">high-income taxpayers </w:t>
      </w:r>
      <w:r w:rsidR="004F249D">
        <w:rPr>
          <w:b/>
          <w:color w:val="auto"/>
          <w:szCs w:val="24"/>
        </w:rPr>
        <w:t xml:space="preserve">subject to being </w:t>
      </w:r>
      <w:r w:rsidR="00B13B09">
        <w:rPr>
          <w:b/>
          <w:color w:val="auto"/>
          <w:szCs w:val="24"/>
        </w:rPr>
        <w:t>phased out?</w:t>
      </w:r>
    </w:p>
    <w:p w:rsidR="00451B14" w:rsidRDefault="00221331" w:rsidP="000D6146">
      <w:pPr>
        <w:pStyle w:val="PA"/>
        <w:suppressAutoHyphens/>
        <w:rPr>
          <w:szCs w:val="24"/>
        </w:rPr>
      </w:pPr>
      <w:r>
        <w:rPr>
          <w:szCs w:val="24"/>
        </w:rPr>
        <w:t xml:space="preserve">Yes. </w:t>
      </w:r>
      <w:r w:rsidR="009F75A1" w:rsidRPr="00532B64">
        <w:rPr>
          <w:szCs w:val="24"/>
        </w:rPr>
        <w:t>Beginning in 2013, the</w:t>
      </w:r>
      <w:r w:rsidR="000D6146" w:rsidRPr="00532B64">
        <w:rPr>
          <w:szCs w:val="24"/>
        </w:rPr>
        <w:t xml:space="preserve"> personal </w:t>
      </w:r>
      <w:r w:rsidR="00B13B09">
        <w:rPr>
          <w:szCs w:val="24"/>
        </w:rPr>
        <w:t xml:space="preserve">and dependency </w:t>
      </w:r>
      <w:r w:rsidR="000D6146" w:rsidRPr="00532B64">
        <w:rPr>
          <w:szCs w:val="24"/>
        </w:rPr>
        <w:t xml:space="preserve">exemptions of </w:t>
      </w:r>
      <w:r w:rsidR="00B13B09">
        <w:rPr>
          <w:szCs w:val="24"/>
        </w:rPr>
        <w:t>t</w:t>
      </w:r>
      <w:r w:rsidR="000D6146" w:rsidRPr="00532B64">
        <w:rPr>
          <w:szCs w:val="24"/>
        </w:rPr>
        <w:t xml:space="preserve">axpayers </w:t>
      </w:r>
      <w:r w:rsidR="00B13B09">
        <w:rPr>
          <w:szCs w:val="24"/>
        </w:rPr>
        <w:t xml:space="preserve">with income over certain defined threshold levels </w:t>
      </w:r>
      <w:r w:rsidR="000D6146" w:rsidRPr="00532B64">
        <w:rPr>
          <w:szCs w:val="24"/>
        </w:rPr>
        <w:t xml:space="preserve">are </w:t>
      </w:r>
      <w:r w:rsidR="00B13B09">
        <w:rPr>
          <w:szCs w:val="24"/>
        </w:rPr>
        <w:t>subject to be</w:t>
      </w:r>
      <w:r w:rsidR="004F249D">
        <w:rPr>
          <w:szCs w:val="24"/>
        </w:rPr>
        <w:t>ing</w:t>
      </w:r>
      <w:r w:rsidR="00B13B09">
        <w:rPr>
          <w:szCs w:val="24"/>
        </w:rPr>
        <w:t xml:space="preserve"> </w:t>
      </w:r>
      <w:r w:rsidR="004F249D">
        <w:rPr>
          <w:szCs w:val="24"/>
        </w:rPr>
        <w:t xml:space="preserve">reduced and potentially </w:t>
      </w:r>
      <w:r>
        <w:rPr>
          <w:szCs w:val="24"/>
        </w:rPr>
        <w:t xml:space="preserve">phased out completely. </w:t>
      </w:r>
      <w:r w:rsidR="00B13B09">
        <w:rPr>
          <w:szCs w:val="24"/>
        </w:rPr>
        <w:t xml:space="preserve"> </w:t>
      </w:r>
      <w:r w:rsidR="000D6146" w:rsidRPr="00532B64">
        <w:rPr>
          <w:szCs w:val="24"/>
        </w:rPr>
        <w:t xml:space="preserve">The dollar amount of personal and dependency exemptions of taxpayers with adjusted gross income above </w:t>
      </w:r>
      <w:r w:rsidR="00197132" w:rsidRPr="00532B64">
        <w:rPr>
          <w:szCs w:val="24"/>
        </w:rPr>
        <w:t>the threshold</w:t>
      </w:r>
      <w:r w:rsidR="000D6146" w:rsidRPr="00532B64">
        <w:rPr>
          <w:szCs w:val="24"/>
        </w:rPr>
        <w:t xml:space="preserve"> levels </w:t>
      </w:r>
      <w:r w:rsidR="00B13B09">
        <w:rPr>
          <w:szCs w:val="24"/>
        </w:rPr>
        <w:t>(adjusted annually for inflation</w:t>
      </w:r>
      <w:r w:rsidR="00451B14">
        <w:rPr>
          <w:rStyle w:val="EndnoteReference"/>
          <w:szCs w:val="24"/>
        </w:rPr>
        <w:endnoteReference w:id="1"/>
      </w:r>
      <w:r w:rsidR="00B13B09">
        <w:rPr>
          <w:szCs w:val="24"/>
        </w:rPr>
        <w:t xml:space="preserve">) </w:t>
      </w:r>
      <w:r>
        <w:rPr>
          <w:szCs w:val="24"/>
        </w:rPr>
        <w:t xml:space="preserve">is reduced by </w:t>
      </w:r>
      <w:r w:rsidR="000D6146" w:rsidRPr="00532B64">
        <w:rPr>
          <w:szCs w:val="24"/>
        </w:rPr>
        <w:t xml:space="preserve"> </w:t>
      </w:r>
      <w:r w:rsidR="00B13B09">
        <w:rPr>
          <w:szCs w:val="24"/>
        </w:rPr>
        <w:t xml:space="preserve">2% </w:t>
      </w:r>
      <w:r w:rsidR="000D6146" w:rsidRPr="00532B64">
        <w:rPr>
          <w:szCs w:val="24"/>
        </w:rPr>
        <w:t>for every $2,500 (or fraction thereof; $1,250 in the case of a married individual filing separately)</w:t>
      </w:r>
      <w:r w:rsidR="00451B14">
        <w:rPr>
          <w:szCs w:val="24"/>
        </w:rPr>
        <w:t xml:space="preserve">.   </w:t>
      </w:r>
      <w:r>
        <w:rPr>
          <w:szCs w:val="24"/>
        </w:rPr>
        <w:t>Depending upon filing status, at</w:t>
      </w:r>
      <w:bookmarkStart w:id="0" w:name="_GoBack"/>
      <w:bookmarkEnd w:id="0"/>
      <w:r w:rsidR="00AF0236">
        <w:rPr>
          <w:szCs w:val="24"/>
        </w:rPr>
        <w:t xml:space="preserve"> certain adjusted gross income levels, the exemptions are phased out to zero.</w:t>
      </w:r>
    </w:p>
    <w:p w:rsidR="009F75A1" w:rsidRDefault="00451B14" w:rsidP="000D6146">
      <w:pPr>
        <w:pStyle w:val="PA"/>
        <w:suppressAutoHyphens/>
        <w:rPr>
          <w:szCs w:val="24"/>
        </w:rPr>
      </w:pPr>
      <w:r>
        <w:rPr>
          <w:szCs w:val="24"/>
        </w:rPr>
        <w:t>For 2014, the following chart illustrates the range of adjusted gross income in which the exemptions are gradually reduced until they are totally phased out: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51B14" w:rsidTr="007330BC">
        <w:tc>
          <w:tcPr>
            <w:tcW w:w="2952" w:type="dxa"/>
            <w:shd w:val="clear" w:color="auto" w:fill="auto"/>
          </w:tcPr>
          <w:p w:rsidR="00451B14" w:rsidRDefault="00451B14" w:rsidP="007330BC">
            <w:pPr>
              <w:pStyle w:val="PA"/>
              <w:ind w:firstLine="0"/>
            </w:pPr>
            <w:r>
              <w:t>Filing Status</w:t>
            </w:r>
          </w:p>
        </w:tc>
        <w:tc>
          <w:tcPr>
            <w:tcW w:w="2952" w:type="dxa"/>
            <w:shd w:val="clear" w:color="auto" w:fill="auto"/>
          </w:tcPr>
          <w:p w:rsidR="00451B14" w:rsidRDefault="00451B14">
            <w:pPr>
              <w:pStyle w:val="PA"/>
              <w:ind w:firstLine="0"/>
            </w:pPr>
            <w:r>
              <w:t>AGI Threshold At Which Phase Out Begins</w:t>
            </w:r>
          </w:p>
        </w:tc>
        <w:tc>
          <w:tcPr>
            <w:tcW w:w="2952" w:type="dxa"/>
            <w:shd w:val="clear" w:color="auto" w:fill="auto"/>
          </w:tcPr>
          <w:p w:rsidR="00451B14" w:rsidRDefault="00451B14" w:rsidP="004F249D">
            <w:pPr>
              <w:pStyle w:val="PA"/>
              <w:ind w:firstLine="0"/>
              <w:jc w:val="left"/>
            </w:pPr>
            <w:r>
              <w:t>AGI Amount At Which Exemptions are Completely Phased Out</w:t>
            </w:r>
          </w:p>
        </w:tc>
      </w:tr>
      <w:tr w:rsidR="00451B14" w:rsidTr="007330BC">
        <w:tc>
          <w:tcPr>
            <w:tcW w:w="2952" w:type="dxa"/>
            <w:shd w:val="clear" w:color="auto" w:fill="auto"/>
          </w:tcPr>
          <w:p w:rsidR="00451B14" w:rsidRDefault="00451B14" w:rsidP="004F249D">
            <w:pPr>
              <w:pStyle w:val="PA"/>
              <w:ind w:firstLine="0"/>
              <w:jc w:val="left"/>
            </w:pPr>
            <w:r>
              <w:t>Married Joint and Surviving Spouse</w:t>
            </w:r>
          </w:p>
        </w:tc>
        <w:tc>
          <w:tcPr>
            <w:tcW w:w="2952" w:type="dxa"/>
            <w:shd w:val="clear" w:color="auto" w:fill="auto"/>
          </w:tcPr>
          <w:p w:rsidR="00451B14" w:rsidRDefault="00451B14" w:rsidP="007330BC">
            <w:pPr>
              <w:pStyle w:val="PA"/>
              <w:ind w:firstLine="0"/>
            </w:pPr>
            <w:r>
              <w:t>$305.050</w:t>
            </w:r>
          </w:p>
        </w:tc>
        <w:tc>
          <w:tcPr>
            <w:tcW w:w="2952" w:type="dxa"/>
            <w:shd w:val="clear" w:color="auto" w:fill="auto"/>
          </w:tcPr>
          <w:p w:rsidR="00451B14" w:rsidRDefault="00451B14" w:rsidP="007330BC">
            <w:pPr>
              <w:pStyle w:val="PA"/>
              <w:ind w:firstLine="0"/>
            </w:pPr>
            <w:r>
              <w:t>$427,550</w:t>
            </w:r>
          </w:p>
        </w:tc>
      </w:tr>
      <w:tr w:rsidR="00451B14" w:rsidTr="007330BC">
        <w:tc>
          <w:tcPr>
            <w:tcW w:w="2952" w:type="dxa"/>
            <w:shd w:val="clear" w:color="auto" w:fill="auto"/>
          </w:tcPr>
          <w:p w:rsidR="00451B14" w:rsidRDefault="00451B14" w:rsidP="007330BC">
            <w:pPr>
              <w:pStyle w:val="PA"/>
              <w:ind w:firstLine="0"/>
            </w:pPr>
            <w:r>
              <w:t>Head of Household</w:t>
            </w:r>
          </w:p>
        </w:tc>
        <w:tc>
          <w:tcPr>
            <w:tcW w:w="2952" w:type="dxa"/>
            <w:shd w:val="clear" w:color="auto" w:fill="auto"/>
          </w:tcPr>
          <w:p w:rsidR="00451B14" w:rsidRDefault="00451B14" w:rsidP="007330BC">
            <w:pPr>
              <w:pStyle w:val="PA"/>
              <w:ind w:firstLine="0"/>
            </w:pPr>
            <w:r>
              <w:t>$279,650</w:t>
            </w:r>
          </w:p>
        </w:tc>
        <w:tc>
          <w:tcPr>
            <w:tcW w:w="2952" w:type="dxa"/>
            <w:shd w:val="clear" w:color="auto" w:fill="auto"/>
          </w:tcPr>
          <w:p w:rsidR="00451B14" w:rsidRDefault="00451B14" w:rsidP="007330BC">
            <w:pPr>
              <w:pStyle w:val="PA"/>
              <w:ind w:firstLine="0"/>
            </w:pPr>
            <w:r>
              <w:t>$402,150</w:t>
            </w:r>
          </w:p>
        </w:tc>
      </w:tr>
      <w:tr w:rsidR="00451B14" w:rsidTr="007330BC">
        <w:tc>
          <w:tcPr>
            <w:tcW w:w="2952" w:type="dxa"/>
            <w:shd w:val="clear" w:color="auto" w:fill="auto"/>
          </w:tcPr>
          <w:p w:rsidR="00451B14" w:rsidRDefault="00451B14" w:rsidP="007330BC">
            <w:pPr>
              <w:pStyle w:val="PA"/>
              <w:ind w:firstLine="0"/>
            </w:pPr>
            <w:r>
              <w:t>Unmarried Individuals</w:t>
            </w:r>
          </w:p>
        </w:tc>
        <w:tc>
          <w:tcPr>
            <w:tcW w:w="2952" w:type="dxa"/>
            <w:shd w:val="clear" w:color="auto" w:fill="auto"/>
          </w:tcPr>
          <w:p w:rsidR="00451B14" w:rsidRDefault="00451B14" w:rsidP="007330BC">
            <w:pPr>
              <w:pStyle w:val="PA"/>
              <w:ind w:firstLine="0"/>
            </w:pPr>
            <w:r>
              <w:t>$254,200</w:t>
            </w:r>
          </w:p>
        </w:tc>
        <w:tc>
          <w:tcPr>
            <w:tcW w:w="2952" w:type="dxa"/>
            <w:shd w:val="clear" w:color="auto" w:fill="auto"/>
          </w:tcPr>
          <w:p w:rsidR="00451B14" w:rsidRDefault="00451B14" w:rsidP="007330BC">
            <w:pPr>
              <w:pStyle w:val="PA"/>
              <w:ind w:firstLine="0"/>
            </w:pPr>
            <w:r>
              <w:t>$376,700</w:t>
            </w:r>
          </w:p>
        </w:tc>
      </w:tr>
      <w:tr w:rsidR="00451B14" w:rsidTr="007330BC">
        <w:tc>
          <w:tcPr>
            <w:tcW w:w="2952" w:type="dxa"/>
            <w:shd w:val="clear" w:color="auto" w:fill="auto"/>
          </w:tcPr>
          <w:p w:rsidR="00451B14" w:rsidRDefault="00451B14" w:rsidP="007330BC">
            <w:pPr>
              <w:pStyle w:val="PA"/>
              <w:ind w:firstLine="0"/>
            </w:pPr>
            <w:r>
              <w:t>Married Separate</w:t>
            </w:r>
          </w:p>
        </w:tc>
        <w:tc>
          <w:tcPr>
            <w:tcW w:w="2952" w:type="dxa"/>
            <w:shd w:val="clear" w:color="auto" w:fill="auto"/>
          </w:tcPr>
          <w:p w:rsidR="00451B14" w:rsidRDefault="00451B14" w:rsidP="007330BC">
            <w:pPr>
              <w:pStyle w:val="PA"/>
              <w:ind w:firstLine="0"/>
            </w:pPr>
            <w:r>
              <w:t>$152,525</w:t>
            </w:r>
          </w:p>
        </w:tc>
        <w:tc>
          <w:tcPr>
            <w:tcW w:w="2952" w:type="dxa"/>
            <w:shd w:val="clear" w:color="auto" w:fill="auto"/>
          </w:tcPr>
          <w:p w:rsidR="00451B14" w:rsidRDefault="00451B14" w:rsidP="007330BC">
            <w:pPr>
              <w:pStyle w:val="PA"/>
              <w:ind w:firstLine="0"/>
            </w:pPr>
            <w:r>
              <w:t>$213,775</w:t>
            </w:r>
            <w:r>
              <w:rPr>
                <w:rStyle w:val="EndnoteReference"/>
              </w:rPr>
              <w:endnoteReference w:id="2"/>
            </w:r>
          </w:p>
        </w:tc>
      </w:tr>
    </w:tbl>
    <w:p w:rsidR="004E7836" w:rsidRPr="004E7836" w:rsidRDefault="004E7836" w:rsidP="004F249D">
      <w:pPr>
        <w:pStyle w:val="PA"/>
        <w:suppressAutoHyphens/>
      </w:pPr>
    </w:p>
    <w:sectPr w:rsidR="004E7836" w:rsidRPr="004E7836" w:rsidSect="00271A21"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90" w:rsidRDefault="00A70490" w:rsidP="006F074C">
      <w:r>
        <w:separator/>
      </w:r>
    </w:p>
  </w:endnote>
  <w:endnote w:type="continuationSeparator" w:id="0">
    <w:p w:rsidR="00A70490" w:rsidRDefault="00A70490" w:rsidP="006F074C">
      <w:r>
        <w:continuationSeparator/>
      </w:r>
    </w:p>
  </w:endnote>
  <w:endnote w:id="1">
    <w:p w:rsidR="00451B14" w:rsidRDefault="00451B1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F249D">
        <w:rPr>
          <w:sz w:val="16"/>
          <w:szCs w:val="16"/>
        </w:rPr>
        <w:t xml:space="preserve">IRC </w:t>
      </w:r>
      <w:proofErr w:type="spellStart"/>
      <w:r w:rsidRPr="004F249D">
        <w:rPr>
          <w:sz w:val="16"/>
          <w:szCs w:val="16"/>
        </w:rPr>
        <w:t>Secs</w:t>
      </w:r>
      <w:proofErr w:type="spellEnd"/>
      <w:r w:rsidRPr="004F249D">
        <w:rPr>
          <w:sz w:val="16"/>
          <w:szCs w:val="16"/>
        </w:rPr>
        <w:t>. 151(d</w:t>
      </w:r>
      <w:proofErr w:type="gramStart"/>
      <w:r w:rsidRPr="004F249D">
        <w:rPr>
          <w:sz w:val="16"/>
          <w:szCs w:val="16"/>
        </w:rPr>
        <w:t>)(</w:t>
      </w:r>
      <w:proofErr w:type="gramEnd"/>
      <w:r w:rsidRPr="004F249D">
        <w:rPr>
          <w:sz w:val="16"/>
          <w:szCs w:val="16"/>
        </w:rPr>
        <w:t>3), 151(d)(4); Rev. Proc. 2013-35, 20</w:t>
      </w:r>
      <w:r>
        <w:rPr>
          <w:sz w:val="16"/>
          <w:szCs w:val="16"/>
        </w:rPr>
        <w:t>13-47 IRB 537</w:t>
      </w:r>
      <w:r w:rsidRPr="004F249D">
        <w:rPr>
          <w:sz w:val="16"/>
          <w:szCs w:val="16"/>
        </w:rPr>
        <w:t>.</w:t>
      </w:r>
    </w:p>
  </w:endnote>
  <w:endnote w:id="2">
    <w:p w:rsidR="00451B14" w:rsidRDefault="00451B14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 w:rsidRPr="007330BC">
        <w:rPr>
          <w:sz w:val="16"/>
          <w:szCs w:val="16"/>
        </w:rPr>
        <w:t>Rev. Proc. 2013-35, 20</w:t>
      </w:r>
      <w:r>
        <w:rPr>
          <w:sz w:val="16"/>
          <w:szCs w:val="16"/>
        </w:rPr>
        <w:t>13-47 IRB 537</w:t>
      </w:r>
      <w:r w:rsidRPr="007330BC">
        <w:rPr>
          <w:sz w:val="16"/>
          <w:szCs w:val="16"/>
        </w:rPr>
        <w:t>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90" w:rsidRDefault="00A70490" w:rsidP="006F074C">
      <w:r>
        <w:separator/>
      </w:r>
    </w:p>
  </w:footnote>
  <w:footnote w:type="continuationSeparator" w:id="0">
    <w:p w:rsidR="00A70490" w:rsidRDefault="00A70490" w:rsidP="006F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906"/>
    <w:rsid w:val="000465CA"/>
    <w:rsid w:val="0008018A"/>
    <w:rsid w:val="00083567"/>
    <w:rsid w:val="000925AB"/>
    <w:rsid w:val="00097038"/>
    <w:rsid w:val="000A2B66"/>
    <w:rsid w:val="000A6CAB"/>
    <w:rsid w:val="000B6372"/>
    <w:rsid w:val="000D258D"/>
    <w:rsid w:val="000D6146"/>
    <w:rsid w:val="000E6BBB"/>
    <w:rsid w:val="00114F5B"/>
    <w:rsid w:val="00116205"/>
    <w:rsid w:val="001244E9"/>
    <w:rsid w:val="00141FAB"/>
    <w:rsid w:val="0017741C"/>
    <w:rsid w:val="00197132"/>
    <w:rsid w:val="0019748C"/>
    <w:rsid w:val="001A2727"/>
    <w:rsid w:val="001D0595"/>
    <w:rsid w:val="001E1AC3"/>
    <w:rsid w:val="001F52F4"/>
    <w:rsid w:val="002000C6"/>
    <w:rsid w:val="00202A9B"/>
    <w:rsid w:val="00202F50"/>
    <w:rsid w:val="002040BD"/>
    <w:rsid w:val="00212ED8"/>
    <w:rsid w:val="00221331"/>
    <w:rsid w:val="00242C92"/>
    <w:rsid w:val="00243A4C"/>
    <w:rsid w:val="0024483D"/>
    <w:rsid w:val="00264FD9"/>
    <w:rsid w:val="00271A21"/>
    <w:rsid w:val="00287277"/>
    <w:rsid w:val="002B58F5"/>
    <w:rsid w:val="002E46AF"/>
    <w:rsid w:val="002E4BFB"/>
    <w:rsid w:val="002F6745"/>
    <w:rsid w:val="00310C38"/>
    <w:rsid w:val="0032167A"/>
    <w:rsid w:val="00323E1D"/>
    <w:rsid w:val="00327BDB"/>
    <w:rsid w:val="00355BC4"/>
    <w:rsid w:val="00360557"/>
    <w:rsid w:val="00377919"/>
    <w:rsid w:val="003B1DF7"/>
    <w:rsid w:val="003B450F"/>
    <w:rsid w:val="003B65D8"/>
    <w:rsid w:val="003C1548"/>
    <w:rsid w:val="003F00D7"/>
    <w:rsid w:val="003F05E5"/>
    <w:rsid w:val="004167F4"/>
    <w:rsid w:val="00427B74"/>
    <w:rsid w:val="00435B94"/>
    <w:rsid w:val="00451B14"/>
    <w:rsid w:val="00456493"/>
    <w:rsid w:val="00474C65"/>
    <w:rsid w:val="00484642"/>
    <w:rsid w:val="00487A39"/>
    <w:rsid w:val="004C5F26"/>
    <w:rsid w:val="004E7836"/>
    <w:rsid w:val="004F249D"/>
    <w:rsid w:val="00501B90"/>
    <w:rsid w:val="00511E10"/>
    <w:rsid w:val="00521FCB"/>
    <w:rsid w:val="00532B64"/>
    <w:rsid w:val="005611F2"/>
    <w:rsid w:val="00565698"/>
    <w:rsid w:val="0056737A"/>
    <w:rsid w:val="00590D68"/>
    <w:rsid w:val="00591789"/>
    <w:rsid w:val="005A7B2C"/>
    <w:rsid w:val="005B0930"/>
    <w:rsid w:val="005B53F2"/>
    <w:rsid w:val="005B73D6"/>
    <w:rsid w:val="005C64AC"/>
    <w:rsid w:val="005E18C8"/>
    <w:rsid w:val="005E1E5E"/>
    <w:rsid w:val="005E1F03"/>
    <w:rsid w:val="005E3CAD"/>
    <w:rsid w:val="006136A3"/>
    <w:rsid w:val="006152E6"/>
    <w:rsid w:val="0061599B"/>
    <w:rsid w:val="00664BF0"/>
    <w:rsid w:val="00667AE6"/>
    <w:rsid w:val="0068069B"/>
    <w:rsid w:val="00695FA3"/>
    <w:rsid w:val="006B1DE0"/>
    <w:rsid w:val="006C1680"/>
    <w:rsid w:val="006C6B16"/>
    <w:rsid w:val="006D650C"/>
    <w:rsid w:val="006E0E1D"/>
    <w:rsid w:val="006E34CD"/>
    <w:rsid w:val="006F074C"/>
    <w:rsid w:val="006F6C51"/>
    <w:rsid w:val="00704D91"/>
    <w:rsid w:val="00723223"/>
    <w:rsid w:val="00725A6D"/>
    <w:rsid w:val="007343A3"/>
    <w:rsid w:val="007865B2"/>
    <w:rsid w:val="00786F5E"/>
    <w:rsid w:val="00794370"/>
    <w:rsid w:val="007B5A4F"/>
    <w:rsid w:val="007D39E8"/>
    <w:rsid w:val="007D6D13"/>
    <w:rsid w:val="007D7748"/>
    <w:rsid w:val="007E76B2"/>
    <w:rsid w:val="0080472F"/>
    <w:rsid w:val="00804FC2"/>
    <w:rsid w:val="00816804"/>
    <w:rsid w:val="008316E9"/>
    <w:rsid w:val="00835C56"/>
    <w:rsid w:val="00844B76"/>
    <w:rsid w:val="008864E6"/>
    <w:rsid w:val="008A42E4"/>
    <w:rsid w:val="008B16D5"/>
    <w:rsid w:val="008C2D90"/>
    <w:rsid w:val="008D4B69"/>
    <w:rsid w:val="008E11EC"/>
    <w:rsid w:val="008E4CF6"/>
    <w:rsid w:val="008F7667"/>
    <w:rsid w:val="009003A2"/>
    <w:rsid w:val="00920178"/>
    <w:rsid w:val="00944E4E"/>
    <w:rsid w:val="0094694E"/>
    <w:rsid w:val="0095488D"/>
    <w:rsid w:val="00957231"/>
    <w:rsid w:val="009626DD"/>
    <w:rsid w:val="0097291A"/>
    <w:rsid w:val="0097483E"/>
    <w:rsid w:val="00984075"/>
    <w:rsid w:val="009938E4"/>
    <w:rsid w:val="009C73DD"/>
    <w:rsid w:val="009F75A1"/>
    <w:rsid w:val="00A02AF1"/>
    <w:rsid w:val="00A03817"/>
    <w:rsid w:val="00A05FEA"/>
    <w:rsid w:val="00A2685C"/>
    <w:rsid w:val="00A268AC"/>
    <w:rsid w:val="00A44BAD"/>
    <w:rsid w:val="00A46971"/>
    <w:rsid w:val="00A70490"/>
    <w:rsid w:val="00A82E6D"/>
    <w:rsid w:val="00A956B1"/>
    <w:rsid w:val="00AF0236"/>
    <w:rsid w:val="00B13B09"/>
    <w:rsid w:val="00B15D08"/>
    <w:rsid w:val="00B22299"/>
    <w:rsid w:val="00B47F6C"/>
    <w:rsid w:val="00B7649C"/>
    <w:rsid w:val="00B97105"/>
    <w:rsid w:val="00BA22F5"/>
    <w:rsid w:val="00BC19F7"/>
    <w:rsid w:val="00BC5792"/>
    <w:rsid w:val="00BC6F51"/>
    <w:rsid w:val="00BE317F"/>
    <w:rsid w:val="00C15AF0"/>
    <w:rsid w:val="00C1615A"/>
    <w:rsid w:val="00C3032D"/>
    <w:rsid w:val="00C360BE"/>
    <w:rsid w:val="00C64FEC"/>
    <w:rsid w:val="00C7768E"/>
    <w:rsid w:val="00C95488"/>
    <w:rsid w:val="00CB0AF1"/>
    <w:rsid w:val="00CD22F0"/>
    <w:rsid w:val="00CF5092"/>
    <w:rsid w:val="00D0195D"/>
    <w:rsid w:val="00D418E3"/>
    <w:rsid w:val="00D51611"/>
    <w:rsid w:val="00D72E05"/>
    <w:rsid w:val="00D73FC0"/>
    <w:rsid w:val="00D81626"/>
    <w:rsid w:val="00DC02E2"/>
    <w:rsid w:val="00DC0B50"/>
    <w:rsid w:val="00DD22D9"/>
    <w:rsid w:val="00DD68C3"/>
    <w:rsid w:val="00DE67F6"/>
    <w:rsid w:val="00DF4161"/>
    <w:rsid w:val="00DF4691"/>
    <w:rsid w:val="00DF78BD"/>
    <w:rsid w:val="00E20C72"/>
    <w:rsid w:val="00E23001"/>
    <w:rsid w:val="00E260EE"/>
    <w:rsid w:val="00E34083"/>
    <w:rsid w:val="00E345E3"/>
    <w:rsid w:val="00E4485C"/>
    <w:rsid w:val="00E57EB0"/>
    <w:rsid w:val="00E67D60"/>
    <w:rsid w:val="00E70D9A"/>
    <w:rsid w:val="00E8579E"/>
    <w:rsid w:val="00EA0B82"/>
    <w:rsid w:val="00EA5FDA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EE6246"/>
    <w:rsid w:val="00F062BA"/>
    <w:rsid w:val="00F16B3F"/>
    <w:rsid w:val="00F66D50"/>
    <w:rsid w:val="00F96BEC"/>
    <w:rsid w:val="00F9714F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B22299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B2229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2229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B2229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B22299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B22299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B22299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B22299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B22299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B22299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B22299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B22299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B22299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B22299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B22299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B22299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B2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22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B222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B22299"/>
    <w:pPr>
      <w:spacing w:before="144"/>
      <w:jc w:val="both"/>
    </w:pPr>
    <w:rPr>
      <w:noProof/>
    </w:rPr>
  </w:style>
  <w:style w:type="paragraph" w:customStyle="1" w:styleId="PD">
    <w:name w:val="PD"/>
    <w:rsid w:val="00B22299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B22299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B22299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B22299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B22299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B22299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B22299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B22299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B22299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B22299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B22299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B22299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B22299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B22299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B22299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B22299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B22299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B22299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B22299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B22299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B22299"/>
    <w:rPr>
      <w:rFonts w:ascii="Perpetua Std" w:hAnsi="Perpetua Std"/>
    </w:rPr>
  </w:style>
  <w:style w:type="paragraph" w:styleId="NoSpacing">
    <w:name w:val="No Spacing"/>
    <w:qFormat/>
    <w:rsid w:val="00B22299"/>
    <w:rPr>
      <w:rFonts w:ascii="Perpetua" w:hAnsi="Perpetua"/>
    </w:rPr>
  </w:style>
  <w:style w:type="paragraph" w:customStyle="1" w:styleId="PCA">
    <w:name w:val="PCA"/>
    <w:rsid w:val="00B22299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B22299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B22299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451B14"/>
  </w:style>
  <w:style w:type="character" w:customStyle="1" w:styleId="EndnoteTextChar">
    <w:name w:val="Endnote Text Char"/>
    <w:basedOn w:val="DefaultParagraphFont"/>
    <w:link w:val="EndnoteText"/>
    <w:semiHidden/>
    <w:rsid w:val="00451B14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451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B22299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B2229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2229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B2229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B22299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B22299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B22299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B22299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B22299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B22299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B22299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B22299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B22299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B22299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B22299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B22299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B2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22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B222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B22299"/>
    <w:pPr>
      <w:spacing w:before="144"/>
      <w:jc w:val="both"/>
    </w:pPr>
    <w:rPr>
      <w:noProof/>
    </w:rPr>
  </w:style>
  <w:style w:type="paragraph" w:customStyle="1" w:styleId="PD">
    <w:name w:val="PD"/>
    <w:rsid w:val="00B22299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B22299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B22299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B22299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B22299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B22299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B22299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B22299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B22299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B22299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B22299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B22299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B22299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B22299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B22299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B22299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B22299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B22299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B22299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B22299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B22299"/>
    <w:rPr>
      <w:rFonts w:ascii="Perpetua Std" w:hAnsi="Perpetua Std"/>
    </w:rPr>
  </w:style>
  <w:style w:type="paragraph" w:styleId="NoSpacing">
    <w:name w:val="No Spacing"/>
    <w:qFormat/>
    <w:rsid w:val="00B22299"/>
    <w:rPr>
      <w:rFonts w:ascii="Perpetua" w:hAnsi="Perpetua"/>
    </w:rPr>
  </w:style>
  <w:style w:type="paragraph" w:customStyle="1" w:styleId="PCA">
    <w:name w:val="PCA"/>
    <w:rsid w:val="00B22299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B22299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B22299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451B14"/>
  </w:style>
  <w:style w:type="character" w:customStyle="1" w:styleId="EndnoteTextChar">
    <w:name w:val="Endnote Text Char"/>
    <w:basedOn w:val="DefaultParagraphFont"/>
    <w:link w:val="EndnoteText"/>
    <w:semiHidden/>
    <w:rsid w:val="00451B14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451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EE1C-F66B-44FB-9F78-0AADCD8B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8512. What are the rules for high-income taxpayers claiming the personal exemption?</vt:lpstr>
    </vt:vector>
  </TitlesOfParts>
  <Company>Summit Business Media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8512. What are the rules for high-income taxpayers claiming the personal exemption?</dc:title>
  <dc:creator>Alexis Long</dc:creator>
  <cp:lastModifiedBy>rcline</cp:lastModifiedBy>
  <cp:revision>2</cp:revision>
  <dcterms:created xsi:type="dcterms:W3CDTF">2014-08-20T14:30:00Z</dcterms:created>
  <dcterms:modified xsi:type="dcterms:W3CDTF">2014-08-20T14:30:00Z</dcterms:modified>
</cp:coreProperties>
</file>