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E" w:rsidRPr="000A171E" w:rsidRDefault="000A171E" w:rsidP="00427B74">
      <w:pPr>
        <w:pStyle w:val="PA"/>
        <w:rPr>
          <w:b/>
        </w:rPr>
      </w:pPr>
      <w:r w:rsidRPr="000A171E">
        <w:rPr>
          <w:b/>
        </w:rPr>
        <w:t>8505.  How does a</w:t>
      </w:r>
      <w:r w:rsidR="00614384">
        <w:rPr>
          <w:b/>
        </w:rPr>
        <w:t xml:space="preserve"> taxpayer</w:t>
      </w:r>
      <w:r w:rsidRPr="000A171E">
        <w:rPr>
          <w:b/>
        </w:rPr>
        <w:t xml:space="preserve"> </w:t>
      </w:r>
      <w:r w:rsidR="003177CB">
        <w:rPr>
          <w:b/>
        </w:rPr>
        <w:t>compute</w:t>
      </w:r>
      <w:bookmarkStart w:id="0" w:name="_GoBack"/>
      <w:bookmarkEnd w:id="0"/>
      <w:r w:rsidR="00614384">
        <w:rPr>
          <w:b/>
        </w:rPr>
        <w:t xml:space="preserve"> yearly tax liability</w:t>
      </w:r>
      <w:r w:rsidRPr="000A171E">
        <w:rPr>
          <w:b/>
        </w:rPr>
        <w:t>?</w:t>
      </w:r>
    </w:p>
    <w:p w:rsidR="00427B74" w:rsidRPr="00532B64" w:rsidRDefault="000A2B66" w:rsidP="00427B74">
      <w:pPr>
        <w:pStyle w:val="PA"/>
      </w:pPr>
      <w:r w:rsidRPr="00532B64">
        <w:t xml:space="preserve">A taxpayer computes the amount of tax </w:t>
      </w:r>
      <w:r w:rsidR="002B58F5" w:rsidRPr="00532B64">
        <w:t>owed using</w:t>
      </w:r>
      <w:r w:rsidRPr="00532B64">
        <w:t xml:space="preserve"> the following</w:t>
      </w:r>
      <w:r w:rsidR="00957231" w:rsidRPr="00532B64">
        <w:t xml:space="preserve"> basic steps:</w:t>
      </w:r>
    </w:p>
    <w:p w:rsidR="00427B74" w:rsidRPr="00532B64" w:rsidRDefault="00427B74" w:rsidP="00427B74">
      <w:pPr>
        <w:pStyle w:val="PC"/>
      </w:pPr>
      <w:r w:rsidRPr="00532B64">
        <w:t>1.</w:t>
      </w:r>
      <w:r w:rsidRPr="00532B64">
        <w:tab/>
      </w:r>
      <w:r w:rsidR="00957231" w:rsidRPr="00532B64">
        <w:t xml:space="preserve">Gross income for the taxable year is determined (see </w:t>
      </w:r>
      <w:r w:rsidR="000465CA" w:rsidRPr="00532B64">
        <w:t>Q 850</w:t>
      </w:r>
      <w:r w:rsidR="00BC19F7" w:rsidRPr="00532B64">
        <w:t>8</w:t>
      </w:r>
      <w:r w:rsidR="00957231" w:rsidRPr="00532B64">
        <w:t>)</w:t>
      </w:r>
      <w:r w:rsidR="00DC0B50" w:rsidRPr="00532B64">
        <w:t>;</w:t>
      </w:r>
    </w:p>
    <w:p w:rsidR="00427B74" w:rsidRPr="00532B64" w:rsidRDefault="00427B74" w:rsidP="00427B74">
      <w:pPr>
        <w:pStyle w:val="PC"/>
      </w:pPr>
      <w:r w:rsidRPr="00532B64">
        <w:t>2.</w:t>
      </w:r>
      <w:r w:rsidRPr="00532B64">
        <w:tab/>
      </w:r>
      <w:r w:rsidR="00957231" w:rsidRPr="00532B64">
        <w:t>Certain deductions are subtracted from gross income</w:t>
      </w:r>
      <w:r w:rsidR="00614384">
        <w:t xml:space="preserve"> (above the line deductions)</w:t>
      </w:r>
      <w:r w:rsidR="00957231" w:rsidRPr="00532B64">
        <w:t xml:space="preserve"> to arrive at adjusted gross income (see </w:t>
      </w:r>
      <w:r w:rsidR="000465CA" w:rsidRPr="00532B64">
        <w:t>Q 85</w:t>
      </w:r>
      <w:r w:rsidR="003C1548" w:rsidRPr="00532B64">
        <w:t>15</w:t>
      </w:r>
      <w:r w:rsidR="00141FAB" w:rsidRPr="00532B64">
        <w:t xml:space="preserve"> to</w:t>
      </w:r>
      <w:r w:rsidR="003C1548" w:rsidRPr="00532B64">
        <w:t xml:space="preserve"> </w:t>
      </w:r>
      <w:r w:rsidR="000465CA" w:rsidRPr="00532B64">
        <w:t>Q 85</w:t>
      </w:r>
      <w:r w:rsidR="003C1548" w:rsidRPr="00532B64">
        <w:t>17</w:t>
      </w:r>
      <w:r w:rsidR="00957231" w:rsidRPr="00532B64">
        <w:t>)</w:t>
      </w:r>
      <w:r w:rsidR="00DC0B50" w:rsidRPr="00532B64">
        <w:t>;</w:t>
      </w:r>
    </w:p>
    <w:p w:rsidR="00427B74" w:rsidRPr="00532B64" w:rsidRDefault="00427B74" w:rsidP="00427B74">
      <w:pPr>
        <w:pStyle w:val="PC"/>
      </w:pPr>
      <w:r w:rsidRPr="00532B64">
        <w:t>3.</w:t>
      </w:r>
      <w:r w:rsidRPr="00532B64">
        <w:tab/>
      </w:r>
      <w:r w:rsidR="00957231" w:rsidRPr="00532B64">
        <w:t xml:space="preserve">The deduction for personal and dependency exemptions is determined (see </w:t>
      </w:r>
      <w:r w:rsidR="000465CA" w:rsidRPr="00532B64">
        <w:t>Q 85</w:t>
      </w:r>
      <w:r w:rsidR="003C1548" w:rsidRPr="00532B64">
        <w:t>11</w:t>
      </w:r>
      <w:r w:rsidR="00141FAB" w:rsidRPr="00532B64">
        <w:t xml:space="preserve"> to </w:t>
      </w:r>
      <w:r w:rsidR="000465CA" w:rsidRPr="00532B64">
        <w:t>Q 85</w:t>
      </w:r>
      <w:r w:rsidR="003C1548" w:rsidRPr="00532B64">
        <w:t>14</w:t>
      </w:r>
      <w:r w:rsidR="00957231" w:rsidRPr="00532B64">
        <w:t>)</w:t>
      </w:r>
      <w:r w:rsidR="00DC0B50" w:rsidRPr="00532B64">
        <w:t>;</w:t>
      </w:r>
    </w:p>
    <w:p w:rsidR="00427B74" w:rsidRPr="00532B64" w:rsidRDefault="00427B74" w:rsidP="00427B74">
      <w:pPr>
        <w:pStyle w:val="PC"/>
      </w:pPr>
      <w:r w:rsidRPr="00532B64">
        <w:t>4.</w:t>
      </w:r>
      <w:r w:rsidRPr="00532B64">
        <w:tab/>
      </w:r>
      <w:r w:rsidR="00957231" w:rsidRPr="00532B64">
        <w:t xml:space="preserve">Itemized deductions are totaled (see </w:t>
      </w:r>
      <w:r w:rsidR="000465CA" w:rsidRPr="00532B64">
        <w:t>Q 85</w:t>
      </w:r>
      <w:r w:rsidR="003C1548" w:rsidRPr="00532B64">
        <w:t>18</w:t>
      </w:r>
      <w:r w:rsidR="00957231" w:rsidRPr="00532B64">
        <w:t xml:space="preserve">), compared to the </w:t>
      </w:r>
      <w:r w:rsidR="00776607" w:rsidRPr="000A171E">
        <w:rPr>
          <w:iCs/>
        </w:rPr>
        <w:t>standard deduction</w:t>
      </w:r>
      <w:r w:rsidR="00614384">
        <w:rPr>
          <w:iCs/>
        </w:rPr>
        <w:t xml:space="preserve"> and the additional standard deduction, if applicable</w:t>
      </w:r>
      <w:r w:rsidR="00957231" w:rsidRPr="00532B64">
        <w:t xml:space="preserve"> (see </w:t>
      </w:r>
      <w:r w:rsidR="000465CA" w:rsidRPr="00532B64">
        <w:t>Q 85</w:t>
      </w:r>
      <w:r w:rsidR="003C1548" w:rsidRPr="00532B64">
        <w:t>15</w:t>
      </w:r>
      <w:r w:rsidR="00957231" w:rsidRPr="00532B64">
        <w:t>), and (generally) the greater amount, along with the deduction for exemptions, is deducted from adjusted gross income to arrive at taxable income</w:t>
      </w:r>
      <w:r w:rsidR="003B65D8" w:rsidRPr="00532B64">
        <w:t>;</w:t>
      </w:r>
    </w:p>
    <w:p w:rsidR="00427B74" w:rsidRPr="00532B64" w:rsidRDefault="00427B74" w:rsidP="00427B74">
      <w:pPr>
        <w:pStyle w:val="PC"/>
      </w:pPr>
      <w:r w:rsidRPr="00532B64">
        <w:t>5.</w:t>
      </w:r>
      <w:r w:rsidRPr="00532B64">
        <w:tab/>
      </w:r>
      <w:r w:rsidR="00957231" w:rsidRPr="00532B64">
        <w:t>The proper tax rate is applied to taxable income to determine the tax (see</w:t>
      </w:r>
      <w:r w:rsidR="000A2B66" w:rsidRPr="00532B64">
        <w:t xml:space="preserve"> </w:t>
      </w:r>
      <w:r w:rsidR="000465CA" w:rsidRPr="00532B64">
        <w:t>Q 850</w:t>
      </w:r>
      <w:r w:rsidR="000A2B66" w:rsidRPr="00532B64">
        <w:t>6</w:t>
      </w:r>
      <w:r w:rsidR="006C6B16">
        <w:t>)</w:t>
      </w:r>
      <w:r w:rsidR="003B65D8" w:rsidRPr="00532B64">
        <w:t>;</w:t>
      </w:r>
      <w:r w:rsidR="000A2B66" w:rsidRPr="00532B64">
        <w:t xml:space="preserve"> </w:t>
      </w:r>
    </w:p>
    <w:p w:rsidR="00427B74" w:rsidRPr="00532B64" w:rsidRDefault="00427B74" w:rsidP="00427B74">
      <w:pPr>
        <w:pStyle w:val="PC"/>
      </w:pPr>
      <w:r w:rsidRPr="00532B64">
        <w:t>6.</w:t>
      </w:r>
      <w:r w:rsidRPr="00532B64">
        <w:tab/>
      </w:r>
      <w:r w:rsidR="00957231" w:rsidRPr="00532B64">
        <w:t xml:space="preserve">The following amounts are subtracted from the tax to determine the net tax payable or overpayment refundable: (1) credits (see </w:t>
      </w:r>
      <w:r w:rsidR="000465CA" w:rsidRPr="00532B64">
        <w:t>Q 85</w:t>
      </w:r>
      <w:r w:rsidR="003C1548" w:rsidRPr="00532B64">
        <w:t>28</w:t>
      </w:r>
      <w:r w:rsidR="00141FAB" w:rsidRPr="00532B64">
        <w:t xml:space="preserve"> </w:t>
      </w:r>
      <w:r w:rsidRPr="00532B64">
        <w:t xml:space="preserve">and </w:t>
      </w:r>
      <w:r w:rsidR="000465CA" w:rsidRPr="00532B64">
        <w:t>Q 85</w:t>
      </w:r>
      <w:r w:rsidR="003C1548" w:rsidRPr="00532B64">
        <w:t>29</w:t>
      </w:r>
      <w:r w:rsidR="00957231" w:rsidRPr="00532B64">
        <w:t xml:space="preserve">), and (2) prepayments toward the tax (e.g., </w:t>
      </w:r>
      <w:r w:rsidR="000000A1">
        <w:t xml:space="preserve">overpayments or credits from a prior tax year carried over, </w:t>
      </w:r>
      <w:r w:rsidR="00957231" w:rsidRPr="00532B64">
        <w:t xml:space="preserve">tax withheld by an employer or </w:t>
      </w:r>
      <w:r w:rsidR="00614384">
        <w:t xml:space="preserve">estimated tax </w:t>
      </w:r>
      <w:r w:rsidR="00957231" w:rsidRPr="00532B64">
        <w:t>payments).</w:t>
      </w:r>
    </w:p>
    <w:p w:rsidR="00427B74" w:rsidRPr="00532B64" w:rsidRDefault="00614384" w:rsidP="00957231">
      <w:pPr>
        <w:pStyle w:val="PA"/>
        <w:suppressAutoHyphens/>
      </w:pPr>
      <w:r>
        <w:t xml:space="preserve">In some cases, there may be an alternative minimum tax liability.  </w:t>
      </w:r>
      <w:r w:rsidR="00957231" w:rsidRPr="00532B64">
        <w:t>The steps in calculating the alternati</w:t>
      </w:r>
      <w:r w:rsidR="00BC19F7" w:rsidRPr="00532B64">
        <w:t xml:space="preserve">ve minimum tax are explained in </w:t>
      </w:r>
      <w:r w:rsidR="000465CA" w:rsidRPr="00532B64">
        <w:t>Q 85</w:t>
      </w:r>
      <w:r w:rsidR="003C1548" w:rsidRPr="00532B64">
        <w:t>37</w:t>
      </w:r>
      <w:r w:rsidR="00957231" w:rsidRPr="00532B64">
        <w:t>.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97" w:rsidRDefault="00445197" w:rsidP="006F074C">
      <w:r>
        <w:separator/>
      </w:r>
    </w:p>
  </w:endnote>
  <w:endnote w:type="continuationSeparator" w:id="0">
    <w:p w:rsidR="00445197" w:rsidRDefault="00445197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97" w:rsidRDefault="00445197" w:rsidP="006F074C">
      <w:r>
        <w:separator/>
      </w:r>
    </w:p>
  </w:footnote>
  <w:footnote w:type="continuationSeparator" w:id="0">
    <w:p w:rsidR="00445197" w:rsidRDefault="00445197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00A1"/>
    <w:rsid w:val="00007B43"/>
    <w:rsid w:val="0001174C"/>
    <w:rsid w:val="000201D4"/>
    <w:rsid w:val="00037960"/>
    <w:rsid w:val="00043906"/>
    <w:rsid w:val="000465CA"/>
    <w:rsid w:val="00083567"/>
    <w:rsid w:val="000925AB"/>
    <w:rsid w:val="00097038"/>
    <w:rsid w:val="000A171E"/>
    <w:rsid w:val="000A2B66"/>
    <w:rsid w:val="000A6CAB"/>
    <w:rsid w:val="000B6372"/>
    <w:rsid w:val="000D258D"/>
    <w:rsid w:val="000D6146"/>
    <w:rsid w:val="000E6BB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752A2"/>
    <w:rsid w:val="00287277"/>
    <w:rsid w:val="002B3C5B"/>
    <w:rsid w:val="002B58F5"/>
    <w:rsid w:val="002E46AF"/>
    <w:rsid w:val="002E4BFB"/>
    <w:rsid w:val="002F6745"/>
    <w:rsid w:val="00310C38"/>
    <w:rsid w:val="003177CB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27B74"/>
    <w:rsid w:val="00435B94"/>
    <w:rsid w:val="00445197"/>
    <w:rsid w:val="00456493"/>
    <w:rsid w:val="00474C65"/>
    <w:rsid w:val="00484642"/>
    <w:rsid w:val="00487A39"/>
    <w:rsid w:val="004C5F26"/>
    <w:rsid w:val="004E7836"/>
    <w:rsid w:val="00501B90"/>
    <w:rsid w:val="00511E10"/>
    <w:rsid w:val="00521FCB"/>
    <w:rsid w:val="00532B64"/>
    <w:rsid w:val="005611F2"/>
    <w:rsid w:val="00565430"/>
    <w:rsid w:val="00565698"/>
    <w:rsid w:val="0056737A"/>
    <w:rsid w:val="00590D68"/>
    <w:rsid w:val="005A7B2C"/>
    <w:rsid w:val="005B0930"/>
    <w:rsid w:val="005B53F2"/>
    <w:rsid w:val="005C477F"/>
    <w:rsid w:val="005C64AC"/>
    <w:rsid w:val="005E18C8"/>
    <w:rsid w:val="005E1E5E"/>
    <w:rsid w:val="005E3CAD"/>
    <w:rsid w:val="00614384"/>
    <w:rsid w:val="006152E6"/>
    <w:rsid w:val="0061599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07F21"/>
    <w:rsid w:val="00723223"/>
    <w:rsid w:val="00725A6D"/>
    <w:rsid w:val="007343A3"/>
    <w:rsid w:val="007627BA"/>
    <w:rsid w:val="00776607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B16D5"/>
    <w:rsid w:val="008C2D90"/>
    <w:rsid w:val="008D4B69"/>
    <w:rsid w:val="008D50D8"/>
    <w:rsid w:val="008E11EC"/>
    <w:rsid w:val="008E4CF6"/>
    <w:rsid w:val="008F7667"/>
    <w:rsid w:val="009003A2"/>
    <w:rsid w:val="00920178"/>
    <w:rsid w:val="0095488D"/>
    <w:rsid w:val="00955FE0"/>
    <w:rsid w:val="00957231"/>
    <w:rsid w:val="009626DD"/>
    <w:rsid w:val="0097483E"/>
    <w:rsid w:val="009938E4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B15D08"/>
    <w:rsid w:val="00B47F6C"/>
    <w:rsid w:val="00B97105"/>
    <w:rsid w:val="00BA22F5"/>
    <w:rsid w:val="00BA2CFA"/>
    <w:rsid w:val="00BC19F7"/>
    <w:rsid w:val="00BC1AA2"/>
    <w:rsid w:val="00BC5792"/>
    <w:rsid w:val="00BC6F51"/>
    <w:rsid w:val="00BE317F"/>
    <w:rsid w:val="00C010B0"/>
    <w:rsid w:val="00C15AF0"/>
    <w:rsid w:val="00C1615A"/>
    <w:rsid w:val="00C3032D"/>
    <w:rsid w:val="00C360BE"/>
    <w:rsid w:val="00C64FEC"/>
    <w:rsid w:val="00C7768E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352BE"/>
    <w:rsid w:val="00E42B43"/>
    <w:rsid w:val="00E57EB0"/>
    <w:rsid w:val="00E67D60"/>
    <w:rsid w:val="00E70D9A"/>
    <w:rsid w:val="00E8579E"/>
    <w:rsid w:val="00E92FA6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66D50"/>
    <w:rsid w:val="00F96BEC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92FA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92F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92F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92FA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92FA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92FA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92FA6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92FA6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92FA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92FA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92FA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92FA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92FA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92FA6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92FA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92FA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9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2F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92F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92FA6"/>
    <w:pPr>
      <w:spacing w:before="144"/>
      <w:jc w:val="both"/>
    </w:pPr>
    <w:rPr>
      <w:noProof/>
    </w:rPr>
  </w:style>
  <w:style w:type="paragraph" w:customStyle="1" w:styleId="PD">
    <w:name w:val="PD"/>
    <w:rsid w:val="00E92FA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92FA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92FA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92FA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92FA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92FA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92FA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92FA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92FA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92FA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92FA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92FA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92FA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92FA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92FA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92FA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92FA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92FA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92FA6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92FA6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92FA6"/>
    <w:rPr>
      <w:rFonts w:ascii="Perpetua Std" w:hAnsi="Perpetua Std"/>
    </w:rPr>
  </w:style>
  <w:style w:type="paragraph" w:styleId="NoSpacing">
    <w:name w:val="No Spacing"/>
    <w:qFormat/>
    <w:rsid w:val="00E92FA6"/>
    <w:rPr>
      <w:rFonts w:ascii="Perpetua" w:hAnsi="Perpetua"/>
    </w:rPr>
  </w:style>
  <w:style w:type="paragraph" w:customStyle="1" w:styleId="PCA">
    <w:name w:val="PCA"/>
    <w:rsid w:val="00E92FA6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92FA6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92FA6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92FA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92F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92F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92FA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92FA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92FA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92FA6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92FA6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92FA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92FA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92FA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92FA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92FA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92FA6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92FA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92FA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9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2F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92F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92FA6"/>
    <w:pPr>
      <w:spacing w:before="144"/>
      <w:jc w:val="both"/>
    </w:pPr>
    <w:rPr>
      <w:noProof/>
    </w:rPr>
  </w:style>
  <w:style w:type="paragraph" w:customStyle="1" w:styleId="PD">
    <w:name w:val="PD"/>
    <w:rsid w:val="00E92FA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92FA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92FA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92FA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92FA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92FA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92FA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92FA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92FA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92FA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92FA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92FA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92FA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92FA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92FA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92FA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92FA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92FA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92FA6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92FA6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92FA6"/>
    <w:rPr>
      <w:rFonts w:ascii="Perpetua Std" w:hAnsi="Perpetua Std"/>
    </w:rPr>
  </w:style>
  <w:style w:type="paragraph" w:styleId="NoSpacing">
    <w:name w:val="No Spacing"/>
    <w:qFormat/>
    <w:rsid w:val="00E92FA6"/>
    <w:rPr>
      <w:rFonts w:ascii="Perpetua" w:hAnsi="Perpetua"/>
    </w:rPr>
  </w:style>
  <w:style w:type="paragraph" w:customStyle="1" w:styleId="PCA">
    <w:name w:val="PCA"/>
    <w:rsid w:val="00E92FA6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92FA6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92FA6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8505. How does an individual determine how much tax is owed?</vt:lpstr>
    </vt:vector>
  </TitlesOfParts>
  <Company>Summit Business Media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8505. How does an individual determine how much tax is owed?</dc:title>
  <dc:creator>Alexis Long</dc:creator>
  <cp:lastModifiedBy>rcline</cp:lastModifiedBy>
  <cp:revision>2</cp:revision>
  <dcterms:created xsi:type="dcterms:W3CDTF">2014-08-20T13:44:00Z</dcterms:created>
  <dcterms:modified xsi:type="dcterms:W3CDTF">2014-08-20T13:44:00Z</dcterms:modified>
</cp:coreProperties>
</file>