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1C3650" w:rsidRDefault="001C3650" w:rsidP="005A7B2C">
      <w:pPr>
        <w:pStyle w:val="PA"/>
        <w:ind w:firstLine="360"/>
        <w:rPr>
          <w:b/>
          <w:color w:val="auto"/>
        </w:rPr>
      </w:pPr>
      <w:bookmarkStart w:id="0" w:name="_GoBack"/>
      <w:bookmarkEnd w:id="0"/>
      <w:r w:rsidRPr="001C3650">
        <w:rPr>
          <w:b/>
          <w:color w:val="auto"/>
        </w:rPr>
        <w:t>850</w:t>
      </w:r>
      <w:r w:rsidR="006D3883">
        <w:rPr>
          <w:b/>
          <w:color w:val="auto"/>
        </w:rPr>
        <w:t>1.</w:t>
      </w:r>
      <w:r w:rsidRPr="001C3650">
        <w:rPr>
          <w:b/>
          <w:color w:val="auto"/>
        </w:rPr>
        <w:t xml:space="preserve"> Who must file a federal income tax return?</w:t>
      </w:r>
    </w:p>
    <w:p w:rsidR="00427B74" w:rsidRPr="00532B64" w:rsidRDefault="00590D68" w:rsidP="005A7B2C">
      <w:pPr>
        <w:pStyle w:val="PA"/>
        <w:ind w:firstLine="360"/>
      </w:pPr>
      <w:r w:rsidRPr="00532B64">
        <w:t>T</w:t>
      </w:r>
      <w:r w:rsidR="005A7B2C" w:rsidRPr="00532B64">
        <w:t>axpayers with annual income that equals or exceeds certain threshold amounts are required to file a federal income tax return</w:t>
      </w:r>
      <w:r w:rsidR="00A03817" w:rsidRPr="00532B64">
        <w:t xml:space="preserve"> for the year</w:t>
      </w:r>
      <w:r w:rsidR="005A7B2C" w:rsidRPr="00532B64">
        <w:t>.</w:t>
      </w:r>
      <w:r w:rsidR="00427B74" w:rsidRPr="00532B64">
        <w:t xml:space="preserve"> </w:t>
      </w:r>
      <w:r w:rsidR="005A7B2C" w:rsidRPr="00532B64">
        <w:t>The threshold amounts are indexed annually for inflation.</w:t>
      </w:r>
      <w:r w:rsidR="00427B74" w:rsidRPr="00532B64">
        <w:t xml:space="preserve"> </w:t>
      </w:r>
      <w:r w:rsidRPr="00532B64">
        <w:t xml:space="preserve">In </w:t>
      </w:r>
      <w:r w:rsidR="005069D7">
        <w:t>2014</w:t>
      </w:r>
      <w:r w:rsidRPr="00532B64">
        <w:t xml:space="preserve">, </w:t>
      </w:r>
      <w:r w:rsidR="001B2D39">
        <w:t xml:space="preserve">based on filing status, </w:t>
      </w:r>
      <w:r w:rsidRPr="00532B64">
        <w:t xml:space="preserve">every </w:t>
      </w:r>
      <w:r w:rsidR="00A03817" w:rsidRPr="00532B64">
        <w:t>taxpayer</w:t>
      </w:r>
      <w:r w:rsidRPr="00532B64">
        <w:t xml:space="preserve"> whose gross income equals or exceeds the following amounts must file a tax return:</w:t>
      </w:r>
      <w:r w:rsidR="005A7B2C" w:rsidRPr="00532B64">
        <w:rPr>
          <w:vertAlign w:val="superscript"/>
        </w:rPr>
        <w:footnoteReference w:id="1"/>
      </w:r>
    </w:p>
    <w:p w:rsidR="00427B74" w:rsidRPr="00532B64" w:rsidRDefault="005A7B2C" w:rsidP="00427B74">
      <w:pPr>
        <w:pStyle w:val="PC"/>
      </w:pPr>
      <w:r w:rsidRPr="00532B64">
        <w:t>(1)</w:t>
      </w:r>
      <w:r w:rsidR="00427B74" w:rsidRPr="00532B64">
        <w:tab/>
      </w:r>
      <w:r w:rsidRPr="00532B64">
        <w:t>Married persons filing jointly–$20,</w:t>
      </w:r>
      <w:r w:rsidR="005069D7">
        <w:t>300</w:t>
      </w:r>
      <w:r w:rsidR="005069D7" w:rsidRPr="00532B64">
        <w:t xml:space="preserve"> </w:t>
      </w:r>
      <w:r w:rsidRPr="00532B64">
        <w:t xml:space="preserve">(if one spouse is blind or </w:t>
      </w:r>
      <w:r w:rsidR="001B2D39">
        <w:t>65 or older</w:t>
      </w:r>
      <w:r w:rsidRPr="00532B64">
        <w:t>–$21,</w:t>
      </w:r>
      <w:r w:rsidR="005069D7">
        <w:t>500</w:t>
      </w:r>
      <w:r w:rsidRPr="00532B64">
        <w:t xml:space="preserve">; if both spouses are blind or </w:t>
      </w:r>
      <w:r w:rsidR="001B2D39">
        <w:t>65 or older</w:t>
      </w:r>
      <w:r w:rsidRPr="00532B64">
        <w:t>–$22,</w:t>
      </w:r>
      <w:r w:rsidR="005069D7">
        <w:t>700</w:t>
      </w:r>
      <w:r w:rsidRPr="00532B64">
        <w:t xml:space="preserve">; if both spouses are blind and </w:t>
      </w:r>
      <w:r w:rsidR="001B2D39">
        <w:t>65 or older</w:t>
      </w:r>
      <w:r w:rsidRPr="00532B64">
        <w:t>–$</w:t>
      </w:r>
      <w:r w:rsidR="005069D7">
        <w:t>25,100</w:t>
      </w:r>
      <w:r w:rsidRPr="00532B64">
        <w:t xml:space="preserve">). </w:t>
      </w:r>
    </w:p>
    <w:p w:rsidR="00427B74" w:rsidRPr="00532B64" w:rsidRDefault="005A7B2C" w:rsidP="00427B74">
      <w:pPr>
        <w:pStyle w:val="PC"/>
      </w:pPr>
      <w:r w:rsidRPr="00532B64">
        <w:t>(2)</w:t>
      </w:r>
      <w:r w:rsidR="00427B74" w:rsidRPr="00532B64">
        <w:tab/>
      </w:r>
      <w:r w:rsidRPr="00532B64">
        <w:t>Surviving spouse–$16,</w:t>
      </w:r>
      <w:r w:rsidR="005069D7">
        <w:t>350</w:t>
      </w:r>
      <w:r w:rsidR="005069D7" w:rsidRPr="00532B64">
        <w:t xml:space="preserve"> </w:t>
      </w:r>
      <w:r w:rsidRPr="00532B64">
        <w:t xml:space="preserve">(if </w:t>
      </w:r>
      <w:r w:rsidR="001B2D39">
        <w:t>65 or older</w:t>
      </w:r>
      <w:r w:rsidRPr="00532B64">
        <w:t xml:space="preserve"> or blind–$17,</w:t>
      </w:r>
      <w:r w:rsidR="005069D7">
        <w:t>550</w:t>
      </w:r>
      <w:r w:rsidRPr="00532B64">
        <w:t xml:space="preserve">; if </w:t>
      </w:r>
      <w:r w:rsidR="001B2D39">
        <w:t>65 or older</w:t>
      </w:r>
      <w:r w:rsidRPr="00532B64">
        <w:t xml:space="preserve"> and blind–$18,</w:t>
      </w:r>
      <w:r w:rsidR="005069D7">
        <w:t>750</w:t>
      </w:r>
      <w:r w:rsidRPr="00532B64">
        <w:t xml:space="preserve">). </w:t>
      </w:r>
    </w:p>
    <w:p w:rsidR="00427B74" w:rsidRPr="00532B64" w:rsidRDefault="005A7B2C" w:rsidP="00427B74">
      <w:pPr>
        <w:pStyle w:val="PC"/>
      </w:pPr>
      <w:r w:rsidRPr="00532B64">
        <w:t>(3)</w:t>
      </w:r>
      <w:r w:rsidRPr="00532B64">
        <w:tab/>
        <w:t>Head-of-household–$</w:t>
      </w:r>
      <w:r w:rsidR="005069D7">
        <w:t>13,050</w:t>
      </w:r>
      <w:r w:rsidRPr="00532B64">
        <w:t xml:space="preserve"> (if blind or </w:t>
      </w:r>
      <w:r w:rsidR="001B2D39">
        <w:t>65 or older</w:t>
      </w:r>
      <w:r w:rsidRPr="00532B64">
        <w:t>–$14,</w:t>
      </w:r>
      <w:r w:rsidR="005069D7">
        <w:t>600</w:t>
      </w:r>
      <w:r w:rsidRPr="00532B64">
        <w:t xml:space="preserve">; if </w:t>
      </w:r>
      <w:r w:rsidR="001B2D39">
        <w:t>65 or older</w:t>
      </w:r>
      <w:r w:rsidRPr="00532B64">
        <w:t xml:space="preserve"> and blind–$1</w:t>
      </w:r>
      <w:r w:rsidR="005069D7">
        <w:t>6,150</w:t>
      </w:r>
      <w:r w:rsidRPr="00532B64">
        <w:t>).</w:t>
      </w:r>
    </w:p>
    <w:p w:rsidR="00427B74" w:rsidRPr="00532B64" w:rsidRDefault="005A7B2C" w:rsidP="00427B74">
      <w:pPr>
        <w:pStyle w:val="PC"/>
      </w:pPr>
      <w:r w:rsidRPr="00532B64">
        <w:t>(4)</w:t>
      </w:r>
      <w:r w:rsidRPr="00532B64">
        <w:tab/>
        <w:t>Single persons–$10,</w:t>
      </w:r>
      <w:r w:rsidR="005069D7">
        <w:t>150</w:t>
      </w:r>
      <w:r w:rsidR="005069D7" w:rsidRPr="00532B64">
        <w:t xml:space="preserve"> </w:t>
      </w:r>
      <w:r w:rsidRPr="00532B64">
        <w:t xml:space="preserve">(if blind or </w:t>
      </w:r>
      <w:r w:rsidR="001B2D39">
        <w:t>65 or older</w:t>
      </w:r>
      <w:r w:rsidRPr="00532B64">
        <w:t>–$11,</w:t>
      </w:r>
      <w:r w:rsidR="005069D7">
        <w:t>700</w:t>
      </w:r>
      <w:r w:rsidRPr="00532B64">
        <w:t xml:space="preserve">; if blind and </w:t>
      </w:r>
      <w:r w:rsidR="001B2D39">
        <w:t>65 or older</w:t>
      </w:r>
      <w:r w:rsidRPr="00532B64">
        <w:t>–$13,</w:t>
      </w:r>
      <w:r w:rsidR="005069D7">
        <w:t>250</w:t>
      </w:r>
      <w:r w:rsidRPr="00532B64">
        <w:t>).</w:t>
      </w:r>
    </w:p>
    <w:p w:rsidR="00427B74" w:rsidRPr="00532B64" w:rsidRDefault="005A7B2C" w:rsidP="00427B74">
      <w:pPr>
        <w:pStyle w:val="PC"/>
      </w:pPr>
      <w:r w:rsidRPr="00532B64">
        <w:t>(5)</w:t>
      </w:r>
      <w:r w:rsidRPr="00532B64">
        <w:tab/>
        <w:t>Married filing separately–if neither spouse itemizes, a return must be filed if gross income equals or exceeds $</w:t>
      </w:r>
      <w:r w:rsidR="005069D7">
        <w:t>10,150</w:t>
      </w:r>
      <w:r w:rsidRPr="00532B64">
        <w:t xml:space="preserve"> in </w:t>
      </w:r>
      <w:r w:rsidR="005069D7">
        <w:t>2014</w:t>
      </w:r>
      <w:r w:rsidR="005069D7" w:rsidRPr="00532B64">
        <w:t xml:space="preserve"> </w:t>
      </w:r>
      <w:r w:rsidRPr="00532B64">
        <w:t xml:space="preserve">(if blind or </w:t>
      </w:r>
      <w:r w:rsidR="001B2D39">
        <w:t>65 or older</w:t>
      </w:r>
      <w:r w:rsidRPr="00532B64">
        <w:t>–$</w:t>
      </w:r>
      <w:r w:rsidR="005069D7">
        <w:t>11,350</w:t>
      </w:r>
      <w:r w:rsidRPr="00532B64">
        <w:t xml:space="preserve">; if blind and </w:t>
      </w:r>
      <w:r w:rsidR="001B2D39">
        <w:t>65 or older</w:t>
      </w:r>
      <w:r w:rsidRPr="00532B64">
        <w:t>–$</w:t>
      </w:r>
      <w:r w:rsidR="005069D7">
        <w:t>12,550</w:t>
      </w:r>
      <w:r w:rsidRPr="00532B64">
        <w:t xml:space="preserve">). </w:t>
      </w:r>
    </w:p>
    <w:p w:rsidR="005A7B2C" w:rsidRPr="00532B64" w:rsidRDefault="005A7B2C" w:rsidP="00427B74">
      <w:pPr>
        <w:pStyle w:val="PC"/>
      </w:pPr>
      <w:r w:rsidRPr="00532B64">
        <w:t>(6)</w:t>
      </w:r>
      <w:r w:rsidRPr="00532B64">
        <w:tab/>
        <w:t xml:space="preserve">Dependents–every individual who may be claimed as a dependent of another must file a return for </w:t>
      </w:r>
      <w:r w:rsidR="005069D7">
        <w:t>2014</w:t>
      </w:r>
      <w:r w:rsidR="005069D7" w:rsidRPr="00532B64">
        <w:t xml:space="preserve"> </w:t>
      </w:r>
      <w:r w:rsidRPr="00532B64">
        <w:t xml:space="preserve">if he has </w:t>
      </w:r>
      <w:r w:rsidR="00590D68" w:rsidRPr="00532B64">
        <w:t xml:space="preserve">either (x) </w:t>
      </w:r>
      <w:r w:rsidRPr="00532B64">
        <w:t xml:space="preserve">unearned income in excess of $1,000 (plus any additional standard deduction if the individual is blind or </w:t>
      </w:r>
      <w:r w:rsidR="001B2D39">
        <w:t>65 or older</w:t>
      </w:r>
      <w:r w:rsidRPr="00532B64">
        <w:t xml:space="preserve">) or </w:t>
      </w:r>
      <w:r w:rsidR="00590D68" w:rsidRPr="00532B64">
        <w:t xml:space="preserve">(y) </w:t>
      </w:r>
      <w:r w:rsidRPr="00532B64">
        <w:t xml:space="preserve">total gross income that exceeds the sum of any additional standard deduction if the individual is blind or </w:t>
      </w:r>
      <w:r w:rsidR="001B2D39">
        <w:t>65 or older</w:t>
      </w:r>
      <w:r w:rsidRPr="00532B64">
        <w:t xml:space="preserve"> plus the greater of (a) $1,000 or (b) the lesser of (i) $350 plus earned income, or (ii) $6,</w:t>
      </w:r>
      <w:r w:rsidR="005069D7">
        <w:t>200</w:t>
      </w:r>
      <w:r w:rsidRPr="00532B64">
        <w:t>.</w:t>
      </w:r>
      <w:r w:rsidR="005069D7">
        <w:t xml:space="preserve"> </w:t>
      </w:r>
    </w:p>
    <w:p w:rsidR="00427B74" w:rsidRPr="00532B64" w:rsidRDefault="005A7B2C" w:rsidP="005A7B2C">
      <w:pPr>
        <w:pStyle w:val="PA"/>
      </w:pPr>
      <w:r w:rsidRPr="00532B64">
        <w:t xml:space="preserve">Taxpayers claiming the additional deduction for blindness may need to attach </w:t>
      </w:r>
      <w:r w:rsidR="00590D68" w:rsidRPr="00532B64">
        <w:t xml:space="preserve">additional documents </w:t>
      </w:r>
      <w:r w:rsidRPr="00532B64">
        <w:t xml:space="preserve">to a tax return to </w:t>
      </w:r>
      <w:r w:rsidR="00590D68" w:rsidRPr="00532B64">
        <w:t xml:space="preserve">verify entitlement to the </w:t>
      </w:r>
      <w:r w:rsidRPr="00532B64">
        <w:t>additional standard deduction.</w:t>
      </w:r>
    </w:p>
    <w:p w:rsidR="00427B74" w:rsidRPr="00532B64" w:rsidRDefault="005A7B2C" w:rsidP="005A7B2C">
      <w:pPr>
        <w:pStyle w:val="PA"/>
      </w:pPr>
      <w:r w:rsidRPr="00532B64">
        <w:t>Certain parents whose children are required to file a return may be permitted to include the child’s income over $</w:t>
      </w:r>
      <w:r w:rsidR="005069D7">
        <w:t>2</w:t>
      </w:r>
      <w:r w:rsidRPr="00532B64">
        <w:t>,000 on their own return, thus avoiding the necessity of the child filing a return</w:t>
      </w:r>
      <w:r w:rsidR="003C1548" w:rsidRPr="00532B64">
        <w:t xml:space="preserve"> (see </w:t>
      </w:r>
      <w:r w:rsidR="000465CA" w:rsidRPr="00532B64">
        <w:t>Q 85</w:t>
      </w:r>
      <w:r w:rsidR="003C1548" w:rsidRPr="00532B64">
        <w:t>41</w:t>
      </w:r>
      <w:r w:rsidR="00141FAB" w:rsidRPr="00532B64">
        <w:t>)</w:t>
      </w:r>
      <w:r w:rsidRPr="00532B64">
        <w:t xml:space="preserve">. </w:t>
      </w:r>
    </w:p>
    <w:p w:rsidR="00427B74" w:rsidRPr="00532B64" w:rsidRDefault="005A7B2C" w:rsidP="005A7B2C">
      <w:pPr>
        <w:pStyle w:val="PA"/>
      </w:pPr>
      <w:r w:rsidRPr="00532B64">
        <w:t xml:space="preserve">A taxpayer with self-employment income must file a return if </w:t>
      </w:r>
      <w:r w:rsidRPr="00532B64">
        <w:rPr>
          <w:i/>
        </w:rPr>
        <w:t>net</w:t>
      </w:r>
      <w:r w:rsidRPr="00532B64">
        <w:t xml:space="preserve"> self-employment income is $400 or more. </w:t>
      </w:r>
    </w:p>
    <w:p w:rsidR="005A7B2C" w:rsidRPr="00532B64" w:rsidRDefault="001B2D39" w:rsidP="005A7B2C">
      <w:pPr>
        <w:pStyle w:val="PA"/>
      </w:pPr>
      <w:r>
        <w:t xml:space="preserve">An individual who was subject to wage withholding but did not have gross income in excess of the threshold amounts described above may desire to file a return in order to receive a refund of the withheld taxes.  Similarly, an individual not required to file a return may desire to file a return in order to receive a refund resulting from a </w:t>
      </w:r>
      <w:r w:rsidR="005A7B2C" w:rsidRPr="00532B64">
        <w:t>refundable credit</w:t>
      </w:r>
      <w:r>
        <w:t xml:space="preserve"> (a </w:t>
      </w:r>
      <w:r>
        <w:lastRenderedPageBreak/>
        <w:t>tax credit or refund payable to the taxpayer even if she or she had paid no tax)</w:t>
      </w:r>
      <w:r w:rsidR="005A7B2C" w:rsidRPr="00532B64">
        <w:t xml:space="preserve">, such as the </w:t>
      </w:r>
      <w:r>
        <w:t>e</w:t>
      </w:r>
      <w:r w:rsidR="005A7B2C" w:rsidRPr="00532B64">
        <w:t xml:space="preserve">arned </w:t>
      </w:r>
      <w:r>
        <w:t>i</w:t>
      </w:r>
      <w:r w:rsidR="005A7B2C" w:rsidRPr="00532B64">
        <w:t xml:space="preserve">ncome </w:t>
      </w:r>
      <w:r>
        <w:t>c</w:t>
      </w:r>
      <w:r w:rsidR="005A7B2C" w:rsidRPr="00532B64">
        <w:t>redit.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E0" w:rsidRDefault="002A44E0" w:rsidP="006F074C">
      <w:r>
        <w:separator/>
      </w:r>
    </w:p>
  </w:endnote>
  <w:endnote w:type="continuationSeparator" w:id="0">
    <w:p w:rsidR="002A44E0" w:rsidRDefault="002A44E0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E0" w:rsidRDefault="002A44E0" w:rsidP="006F074C">
      <w:r>
        <w:separator/>
      </w:r>
    </w:p>
  </w:footnote>
  <w:footnote w:type="continuationSeparator" w:id="0">
    <w:p w:rsidR="002A44E0" w:rsidRDefault="002A44E0" w:rsidP="006F074C">
      <w:r>
        <w:continuationSeparator/>
      </w:r>
    </w:p>
  </w:footnote>
  <w:footnote w:id="1">
    <w:p w:rsidR="00D73FC0" w:rsidRDefault="00D73FC0" w:rsidP="00FE5D9D">
      <w:pPr>
        <w:pStyle w:val="PQ"/>
      </w:pPr>
      <w:r w:rsidRPr="00AE4B7C">
        <w:footnoteRef/>
      </w:r>
      <w:r w:rsidR="00FE5D9D">
        <w:t>.</w:t>
      </w:r>
      <w:r w:rsidR="00FE5D9D">
        <w:tab/>
        <w:t>IRC Secs. 6012(a), 63(c), 151; Rev. Proc. 2013-</w:t>
      </w:r>
      <w:r w:rsidR="005069D7">
        <w:t>35, 2013-47 IRB 537</w:t>
      </w:r>
      <w:r w:rsidR="00FE5D9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75CD3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6205"/>
    <w:rsid w:val="001244E9"/>
    <w:rsid w:val="00141FAB"/>
    <w:rsid w:val="0017741C"/>
    <w:rsid w:val="00197132"/>
    <w:rsid w:val="0019748C"/>
    <w:rsid w:val="001A2727"/>
    <w:rsid w:val="001B2D39"/>
    <w:rsid w:val="001C3650"/>
    <w:rsid w:val="001D0595"/>
    <w:rsid w:val="001D36C7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A44E0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91AFB"/>
    <w:rsid w:val="003B1DF7"/>
    <w:rsid w:val="003B450F"/>
    <w:rsid w:val="003B65D8"/>
    <w:rsid w:val="003C1548"/>
    <w:rsid w:val="003F00D7"/>
    <w:rsid w:val="003F05E5"/>
    <w:rsid w:val="00427B74"/>
    <w:rsid w:val="00435B94"/>
    <w:rsid w:val="004533E6"/>
    <w:rsid w:val="00474C65"/>
    <w:rsid w:val="00484642"/>
    <w:rsid w:val="00487A39"/>
    <w:rsid w:val="004C1EAA"/>
    <w:rsid w:val="004C5F26"/>
    <w:rsid w:val="004E0F10"/>
    <w:rsid w:val="004E7836"/>
    <w:rsid w:val="00501B90"/>
    <w:rsid w:val="005069D7"/>
    <w:rsid w:val="00511E10"/>
    <w:rsid w:val="00521FCB"/>
    <w:rsid w:val="00532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6152E6"/>
    <w:rsid w:val="0061599B"/>
    <w:rsid w:val="00664BF0"/>
    <w:rsid w:val="00667AE6"/>
    <w:rsid w:val="00695FA3"/>
    <w:rsid w:val="006B1DE0"/>
    <w:rsid w:val="006C1680"/>
    <w:rsid w:val="006C6B16"/>
    <w:rsid w:val="006D3883"/>
    <w:rsid w:val="006D650C"/>
    <w:rsid w:val="006E0E1D"/>
    <w:rsid w:val="006E34CD"/>
    <w:rsid w:val="006F074C"/>
    <w:rsid w:val="00704D91"/>
    <w:rsid w:val="00723223"/>
    <w:rsid w:val="00725A6D"/>
    <w:rsid w:val="007343A3"/>
    <w:rsid w:val="00734F68"/>
    <w:rsid w:val="007865B2"/>
    <w:rsid w:val="00786F5E"/>
    <w:rsid w:val="00794370"/>
    <w:rsid w:val="007D39E8"/>
    <w:rsid w:val="007D6D13"/>
    <w:rsid w:val="007D7748"/>
    <w:rsid w:val="0080472F"/>
    <w:rsid w:val="00804FC2"/>
    <w:rsid w:val="008316E9"/>
    <w:rsid w:val="0083543B"/>
    <w:rsid w:val="00835C56"/>
    <w:rsid w:val="00844B76"/>
    <w:rsid w:val="008864E6"/>
    <w:rsid w:val="008912B3"/>
    <w:rsid w:val="008B16D5"/>
    <w:rsid w:val="008C2D90"/>
    <w:rsid w:val="008D4B69"/>
    <w:rsid w:val="008E11EC"/>
    <w:rsid w:val="008E4CF6"/>
    <w:rsid w:val="008F7667"/>
    <w:rsid w:val="009003A2"/>
    <w:rsid w:val="00920178"/>
    <w:rsid w:val="0095488D"/>
    <w:rsid w:val="00957231"/>
    <w:rsid w:val="009626DD"/>
    <w:rsid w:val="0097483E"/>
    <w:rsid w:val="009938E4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E2CE6"/>
    <w:rsid w:val="00B15D08"/>
    <w:rsid w:val="00B47F6C"/>
    <w:rsid w:val="00B97105"/>
    <w:rsid w:val="00BA22F5"/>
    <w:rsid w:val="00BC110B"/>
    <w:rsid w:val="00BC19F7"/>
    <w:rsid w:val="00BC5792"/>
    <w:rsid w:val="00BC6F51"/>
    <w:rsid w:val="00BE317F"/>
    <w:rsid w:val="00C15AF0"/>
    <w:rsid w:val="00C1615A"/>
    <w:rsid w:val="00C3032D"/>
    <w:rsid w:val="00C360BE"/>
    <w:rsid w:val="00C552B9"/>
    <w:rsid w:val="00C64FEC"/>
    <w:rsid w:val="00C7768E"/>
    <w:rsid w:val="00CB0AF1"/>
    <w:rsid w:val="00CB5285"/>
    <w:rsid w:val="00CD22F0"/>
    <w:rsid w:val="00CF5092"/>
    <w:rsid w:val="00D0195D"/>
    <w:rsid w:val="00D25BD7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8579E"/>
    <w:rsid w:val="00EA0B82"/>
    <w:rsid w:val="00EA727D"/>
    <w:rsid w:val="00EA756B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66D50"/>
    <w:rsid w:val="00F823F7"/>
    <w:rsid w:val="00F96BEC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BC110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BC11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C110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C110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BC110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BC110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BC110B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BC110B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BC110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BC110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BC110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BC110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BC110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BC110B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BC110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BC110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BC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11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BC11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BC110B"/>
    <w:pPr>
      <w:spacing w:before="144"/>
      <w:jc w:val="both"/>
    </w:pPr>
    <w:rPr>
      <w:noProof/>
    </w:rPr>
  </w:style>
  <w:style w:type="paragraph" w:customStyle="1" w:styleId="PD">
    <w:name w:val="PD"/>
    <w:rsid w:val="00BC110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BC110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BC110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BC110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BC110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BC110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BC110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BC110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BC110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BC110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BC110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BC110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BC110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BC110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BC110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BC110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BC110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BC110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BC110B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BC110B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BC110B"/>
    <w:rPr>
      <w:rFonts w:ascii="Perpetua Std" w:hAnsi="Perpetua Std"/>
    </w:rPr>
  </w:style>
  <w:style w:type="paragraph" w:styleId="NoSpacing">
    <w:name w:val="No Spacing"/>
    <w:qFormat/>
    <w:rsid w:val="00BC110B"/>
    <w:rPr>
      <w:rFonts w:ascii="Perpetua" w:hAnsi="Perpetua"/>
    </w:rPr>
  </w:style>
  <w:style w:type="paragraph" w:customStyle="1" w:styleId="PCA">
    <w:name w:val="PCA"/>
    <w:rsid w:val="00BC110B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BC110B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BC110B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BC110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BC11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C110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C110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BC110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BC110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BC110B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BC110B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BC110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BC110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BC110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BC110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BC110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BC110B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BC110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BC110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BC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11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BC11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BC110B"/>
    <w:pPr>
      <w:spacing w:before="144"/>
      <w:jc w:val="both"/>
    </w:pPr>
    <w:rPr>
      <w:noProof/>
    </w:rPr>
  </w:style>
  <w:style w:type="paragraph" w:customStyle="1" w:styleId="PD">
    <w:name w:val="PD"/>
    <w:rsid w:val="00BC110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BC110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BC110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BC110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BC110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BC110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BC110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BC110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BC110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BC110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BC110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BC110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BC110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BC110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BC110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BC110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BC110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BC110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BC110B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BC110B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BC110B"/>
    <w:rPr>
      <w:rFonts w:ascii="Perpetua Std" w:hAnsi="Perpetua Std"/>
    </w:rPr>
  </w:style>
  <w:style w:type="paragraph" w:styleId="NoSpacing">
    <w:name w:val="No Spacing"/>
    <w:qFormat/>
    <w:rsid w:val="00BC110B"/>
    <w:rPr>
      <w:rFonts w:ascii="Perpetua" w:hAnsi="Perpetua"/>
    </w:rPr>
  </w:style>
  <w:style w:type="paragraph" w:customStyle="1" w:styleId="PCA">
    <w:name w:val="PCA"/>
    <w:rsid w:val="00BC110B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BC110B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BC110B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8501. Who must file a federal income tax return?</vt:lpstr>
    </vt:vector>
  </TitlesOfParts>
  <Company>Summit Business Media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8501. Who must file a federal income tax return?</dc:title>
  <dc:creator>Alexis Long</dc:creator>
  <cp:lastModifiedBy>rcline</cp:lastModifiedBy>
  <cp:revision>2</cp:revision>
  <dcterms:created xsi:type="dcterms:W3CDTF">2014-08-20T12:32:00Z</dcterms:created>
  <dcterms:modified xsi:type="dcterms:W3CDTF">2014-08-20T12:32:00Z</dcterms:modified>
</cp:coreProperties>
</file>