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ED" w:rsidRDefault="00DC70ED" w:rsidP="00DC70ED">
      <w:pPr>
        <w:pStyle w:val="ListParagraph"/>
        <w:autoSpaceDE w:val="0"/>
        <w:autoSpaceDN w:val="0"/>
        <w:adjustRightInd w:val="0"/>
        <w:rPr>
          <w:rFonts w:ascii="Helvetica LT Std" w:eastAsia="Times New Roman" w:hAnsi="Helvetica LT Std" w:cs="Times New Roman"/>
          <w:b/>
          <w:color w:val="000080"/>
          <w:sz w:val="24"/>
          <w:szCs w:val="20"/>
        </w:rPr>
      </w:pPr>
    </w:p>
    <w:p w:rsidR="00DC70ED" w:rsidRPr="003D15BD" w:rsidRDefault="003D15BD" w:rsidP="003D15BD">
      <w:pPr>
        <w:autoSpaceDE w:val="0"/>
        <w:autoSpaceDN w:val="0"/>
        <w:adjustRightInd w:val="0"/>
        <w:rPr>
          <w:rFonts w:ascii="Arial" w:hAnsi="Arial" w:cs="Arial"/>
          <w:bCs/>
        </w:rPr>
      </w:pPr>
      <w:r>
        <w:rPr>
          <w:rFonts w:ascii="Helvetica LT Std" w:hAnsi="Helvetica LT Std"/>
          <w:b/>
          <w:color w:val="000080"/>
          <w:sz w:val="24"/>
        </w:rPr>
        <w:t xml:space="preserve">372.01 </w:t>
      </w:r>
      <w:r w:rsidR="00DC70ED" w:rsidRPr="003D15BD">
        <w:rPr>
          <w:rFonts w:ascii="Helvetica LT Std" w:hAnsi="Helvetica LT Std"/>
          <w:b/>
          <w:color w:val="000080"/>
          <w:sz w:val="24"/>
        </w:rPr>
        <w:t xml:space="preserve">What is the HSA establishment date?   </w:t>
      </w:r>
    </w:p>
    <w:p w:rsidR="00DC70ED" w:rsidRDefault="00DC70ED" w:rsidP="00DC70ED">
      <w:pPr>
        <w:autoSpaceDE w:val="0"/>
        <w:autoSpaceDN w:val="0"/>
        <w:adjustRightInd w:val="0"/>
        <w:rPr>
          <w:rFonts w:ascii="Helvetica LT Std" w:hAnsi="Helvetica LT Std"/>
          <w:color w:val="000000"/>
          <w:sz w:val="24"/>
        </w:rPr>
      </w:pPr>
    </w:p>
    <w:p w:rsidR="00DC70ED" w:rsidRDefault="00DC70ED" w:rsidP="00DC70ED">
      <w:pPr>
        <w:autoSpaceDE w:val="0"/>
        <w:autoSpaceDN w:val="0"/>
        <w:adjustRightInd w:val="0"/>
        <w:rPr>
          <w:rFonts w:ascii="Helvetica LT Std" w:hAnsi="Helvetica LT Std"/>
          <w:color w:val="000000"/>
          <w:sz w:val="24"/>
        </w:rPr>
      </w:pPr>
      <w:r w:rsidRPr="00DD48B2">
        <w:rPr>
          <w:rFonts w:ascii="Helvetica LT Std" w:hAnsi="Helvetica LT Std"/>
          <w:color w:val="000000"/>
          <w:sz w:val="24"/>
        </w:rPr>
        <w:t xml:space="preserve">HSA </w:t>
      </w:r>
      <w:r>
        <w:rPr>
          <w:rFonts w:ascii="Helvetica LT Std" w:hAnsi="Helvetica LT Std"/>
          <w:color w:val="000000"/>
          <w:sz w:val="24"/>
        </w:rPr>
        <w:t>account owner</w:t>
      </w:r>
      <w:r w:rsidRPr="00DD48B2">
        <w:rPr>
          <w:rFonts w:ascii="Helvetica LT Std" w:hAnsi="Helvetica LT Std"/>
          <w:color w:val="000000"/>
          <w:sz w:val="24"/>
        </w:rPr>
        <w:t xml:space="preserve">s </w:t>
      </w:r>
      <w:r>
        <w:rPr>
          <w:rFonts w:ascii="Helvetica LT Std" w:hAnsi="Helvetica LT Std"/>
          <w:color w:val="000000"/>
          <w:sz w:val="24"/>
        </w:rPr>
        <w:t xml:space="preserve">set </w:t>
      </w:r>
      <w:r w:rsidRPr="00DD48B2">
        <w:rPr>
          <w:rFonts w:ascii="Helvetica LT Std" w:hAnsi="Helvetica LT Std"/>
          <w:color w:val="000000"/>
          <w:sz w:val="24"/>
        </w:rPr>
        <w:t xml:space="preserve">an establishment date for their HSAs </w:t>
      </w:r>
      <w:r>
        <w:rPr>
          <w:rFonts w:ascii="Helvetica LT Std" w:hAnsi="Helvetica LT Std"/>
          <w:color w:val="000000"/>
          <w:sz w:val="24"/>
        </w:rPr>
        <w:t xml:space="preserve">and </w:t>
      </w:r>
      <w:r w:rsidRPr="00DD48B2">
        <w:rPr>
          <w:rFonts w:ascii="Helvetica LT Std" w:hAnsi="Helvetica LT Std"/>
          <w:color w:val="000000"/>
          <w:sz w:val="24"/>
        </w:rPr>
        <w:t>can use the HSA to pay for all</w:t>
      </w:r>
      <w:r>
        <w:rPr>
          <w:rFonts w:ascii="Helvetica LT Std" w:hAnsi="Helvetica LT Std"/>
          <w:color w:val="000000"/>
          <w:sz w:val="24"/>
        </w:rPr>
        <w:t xml:space="preserve"> qualified m</w:t>
      </w:r>
      <w:r w:rsidRPr="00DD48B2">
        <w:rPr>
          <w:rFonts w:ascii="Helvetica LT Std" w:hAnsi="Helvetica LT Std"/>
          <w:color w:val="000000"/>
          <w:sz w:val="24"/>
        </w:rPr>
        <w:t>edical expenses incurred after that date.</w:t>
      </w:r>
      <w:r>
        <w:rPr>
          <w:rStyle w:val="EndnoteReference"/>
          <w:rFonts w:ascii="Helvetica LT Std" w:hAnsi="Helvetica LT Std"/>
          <w:color w:val="000000"/>
          <w:sz w:val="24"/>
        </w:rPr>
        <w:endnoteReference w:id="1"/>
      </w:r>
      <w:r w:rsidRPr="00DD48B2">
        <w:rPr>
          <w:rFonts w:ascii="Helvetica LT Std" w:hAnsi="Helvetica LT Std"/>
          <w:color w:val="000000"/>
          <w:sz w:val="24"/>
        </w:rPr>
        <w:t xml:space="preserve"> </w:t>
      </w:r>
    </w:p>
    <w:p w:rsidR="00DC70ED" w:rsidRDefault="00DC70ED" w:rsidP="00DC70ED">
      <w:pPr>
        <w:autoSpaceDE w:val="0"/>
        <w:autoSpaceDN w:val="0"/>
        <w:adjustRightInd w:val="0"/>
        <w:rPr>
          <w:rFonts w:ascii="Helvetica LT Std" w:hAnsi="Helvetica LT Std"/>
          <w:color w:val="000000"/>
          <w:sz w:val="24"/>
        </w:rPr>
      </w:pPr>
    </w:p>
    <w:p w:rsidR="00DC70ED" w:rsidRPr="007705B1" w:rsidRDefault="00DC70ED" w:rsidP="00DC70ED">
      <w:pPr>
        <w:autoSpaceDE w:val="0"/>
        <w:autoSpaceDN w:val="0"/>
        <w:adjustRightInd w:val="0"/>
        <w:rPr>
          <w:rFonts w:ascii="Helvetica LT Std" w:hAnsi="Helvetica LT Std"/>
          <w:color w:val="000000"/>
          <w:sz w:val="24"/>
        </w:rPr>
      </w:pPr>
      <w:r>
        <w:rPr>
          <w:rFonts w:ascii="Helvetica LT Std" w:hAnsi="Helvetica LT Std"/>
          <w:color w:val="000000"/>
          <w:sz w:val="24"/>
        </w:rPr>
        <w:t>The establishment date is initially set the first time a taxpayer opens an HSA. T</w:t>
      </w:r>
      <w:r w:rsidRPr="00C93164">
        <w:rPr>
          <w:rFonts w:ascii="Helvetica LT Std" w:hAnsi="Helvetica LT Std"/>
          <w:color w:val="000000"/>
          <w:sz w:val="24"/>
        </w:rPr>
        <w:t xml:space="preserve">he definition of “established” depends on state law so the exact date an HSA is established depends on an HSA </w:t>
      </w:r>
      <w:r>
        <w:rPr>
          <w:rFonts w:ascii="Helvetica LT Std" w:hAnsi="Helvetica LT Std"/>
          <w:color w:val="000000"/>
          <w:sz w:val="24"/>
        </w:rPr>
        <w:t>account owner</w:t>
      </w:r>
      <w:r w:rsidRPr="00C93164">
        <w:rPr>
          <w:rFonts w:ascii="Helvetica LT Std" w:hAnsi="Helvetica LT Std"/>
          <w:color w:val="000000"/>
          <w:sz w:val="24"/>
        </w:rPr>
        <w:t>’s state</w:t>
      </w:r>
      <w:r>
        <w:rPr>
          <w:rFonts w:ascii="Helvetica LT Std" w:hAnsi="Helvetica LT Std"/>
          <w:color w:val="000000"/>
          <w:sz w:val="24"/>
        </w:rPr>
        <w:t xml:space="preserve"> trust</w:t>
      </w:r>
      <w:r w:rsidRPr="00C93164">
        <w:rPr>
          <w:rFonts w:ascii="Helvetica LT Std" w:hAnsi="Helvetica LT Std"/>
          <w:color w:val="000000"/>
          <w:sz w:val="24"/>
        </w:rPr>
        <w:t xml:space="preserve"> law.</w:t>
      </w:r>
      <w:r>
        <w:rPr>
          <w:rStyle w:val="EndnoteReference"/>
          <w:rFonts w:ascii="Helvetica LT Std" w:hAnsi="Helvetica LT Std"/>
          <w:color w:val="000000"/>
          <w:sz w:val="24"/>
        </w:rPr>
        <w:endnoteReference w:id="2"/>
      </w:r>
      <w:r w:rsidRPr="00C93164">
        <w:rPr>
          <w:rFonts w:ascii="Helvetica LT Std" w:hAnsi="Helvetica LT Std"/>
          <w:color w:val="000000"/>
          <w:sz w:val="24"/>
        </w:rPr>
        <w:t xml:space="preserve"> A common requirement under state law </w:t>
      </w:r>
      <w:r>
        <w:rPr>
          <w:rFonts w:ascii="Helvetica LT Std" w:hAnsi="Helvetica LT Std"/>
          <w:color w:val="000000"/>
          <w:sz w:val="24"/>
        </w:rPr>
        <w:t xml:space="preserve">for a trust is that an executed trust agreement exists and potentially that the trust is </w:t>
      </w:r>
      <w:r w:rsidRPr="00C93164">
        <w:rPr>
          <w:rFonts w:ascii="Helvetica LT Std" w:hAnsi="Helvetica LT Std"/>
          <w:color w:val="000000"/>
          <w:sz w:val="24"/>
        </w:rPr>
        <w:t>funded</w:t>
      </w:r>
      <w:r>
        <w:rPr>
          <w:rFonts w:ascii="Helvetica LT Std" w:hAnsi="Helvetica LT Std"/>
          <w:color w:val="000000"/>
          <w:sz w:val="24"/>
        </w:rPr>
        <w:t xml:space="preserve">. </w:t>
      </w:r>
      <w:r w:rsidRPr="00C93164">
        <w:rPr>
          <w:rFonts w:ascii="Helvetica LT Std" w:hAnsi="Helvetica LT Std"/>
          <w:color w:val="000000"/>
          <w:sz w:val="24"/>
        </w:rPr>
        <w:t xml:space="preserve">HSA </w:t>
      </w:r>
      <w:r>
        <w:rPr>
          <w:rFonts w:ascii="Helvetica LT Std" w:hAnsi="Helvetica LT Std"/>
          <w:color w:val="000000"/>
          <w:sz w:val="24"/>
        </w:rPr>
        <w:t xml:space="preserve">rules </w:t>
      </w:r>
      <w:r w:rsidRPr="00C93164">
        <w:rPr>
          <w:rFonts w:ascii="Helvetica LT Std" w:hAnsi="Helvetica LT Std"/>
          <w:color w:val="000000"/>
          <w:sz w:val="24"/>
        </w:rPr>
        <w:t>require that HSA custodians use a formal document for HSA establishment; the IRS Forms 5305-C, 5305-B or an IRS approved prototype</w:t>
      </w:r>
      <w:r>
        <w:rPr>
          <w:rFonts w:ascii="Helvetica LT Std" w:hAnsi="Helvetica LT Std"/>
          <w:color w:val="000000"/>
          <w:sz w:val="24"/>
        </w:rPr>
        <w:t>. The signing of that document would generally be a requirement for establishment.</w:t>
      </w:r>
      <w:r>
        <w:rPr>
          <w:rStyle w:val="EndnoteReference"/>
          <w:rFonts w:ascii="Helvetica LT Std" w:hAnsi="Helvetica LT Std"/>
          <w:color w:val="000000"/>
          <w:sz w:val="24"/>
        </w:rPr>
        <w:endnoteReference w:id="3"/>
      </w:r>
      <w:r>
        <w:rPr>
          <w:rFonts w:ascii="Helvetica LT Std" w:hAnsi="Helvetica LT Std"/>
          <w:color w:val="000000"/>
          <w:sz w:val="24"/>
        </w:rPr>
        <w:t xml:space="preserve"> </w:t>
      </w:r>
      <w:r w:rsidRPr="007705B1">
        <w:rPr>
          <w:rFonts w:ascii="Helvetica LT Std" w:hAnsi="Helvetica LT Std"/>
          <w:color w:val="000000"/>
          <w:sz w:val="24"/>
        </w:rPr>
        <w:t xml:space="preserve">The establishment date is </w:t>
      </w:r>
      <w:r>
        <w:rPr>
          <w:rFonts w:ascii="Helvetica LT Std" w:hAnsi="Helvetica LT Std"/>
          <w:color w:val="000000"/>
          <w:sz w:val="24"/>
        </w:rPr>
        <w:t xml:space="preserve">not </w:t>
      </w:r>
      <w:r w:rsidRPr="007705B1">
        <w:rPr>
          <w:rFonts w:ascii="Helvetica LT Std" w:hAnsi="Helvetica LT Std"/>
          <w:color w:val="000000"/>
          <w:sz w:val="24"/>
        </w:rPr>
        <w:t xml:space="preserve">the date when the HSA </w:t>
      </w:r>
      <w:r>
        <w:rPr>
          <w:rFonts w:ascii="Helvetica LT Std" w:hAnsi="Helvetica LT Std"/>
          <w:color w:val="000000"/>
          <w:sz w:val="24"/>
        </w:rPr>
        <w:t>account owner</w:t>
      </w:r>
      <w:r w:rsidRPr="007705B1">
        <w:rPr>
          <w:rFonts w:ascii="Helvetica LT Std" w:hAnsi="Helvetica LT Std"/>
          <w:color w:val="000000"/>
          <w:sz w:val="24"/>
        </w:rPr>
        <w:t xml:space="preserve"> was eligible to open the HSA</w:t>
      </w:r>
      <w:r w:rsidRPr="00C93164">
        <w:rPr>
          <w:rFonts w:ascii="Helvetica LT Std" w:hAnsi="Helvetica LT Std"/>
          <w:b/>
          <w:color w:val="000000"/>
          <w:sz w:val="24"/>
        </w:rPr>
        <w:t xml:space="preserve"> </w:t>
      </w:r>
      <w:r>
        <w:rPr>
          <w:rFonts w:ascii="Helvetica LT Std" w:hAnsi="Helvetica LT Std"/>
          <w:color w:val="000000"/>
          <w:sz w:val="24"/>
        </w:rPr>
        <w:t xml:space="preserve">or when coverage under an </w:t>
      </w:r>
      <w:r w:rsidRPr="007705B1">
        <w:rPr>
          <w:rFonts w:ascii="Helvetica LT Std" w:hAnsi="Helvetica LT Std"/>
          <w:color w:val="000000"/>
          <w:sz w:val="24"/>
        </w:rPr>
        <w:t xml:space="preserve">HDHP begins. </w:t>
      </w:r>
    </w:p>
    <w:p w:rsidR="00DC70ED" w:rsidRPr="00C93164" w:rsidRDefault="00DC70ED" w:rsidP="00DC70ED">
      <w:pPr>
        <w:autoSpaceDE w:val="0"/>
        <w:autoSpaceDN w:val="0"/>
        <w:adjustRightInd w:val="0"/>
        <w:rPr>
          <w:rFonts w:ascii="Helvetica LT Std" w:hAnsi="Helvetica LT Std"/>
          <w:color w:val="000000"/>
          <w:sz w:val="24"/>
        </w:rPr>
      </w:pPr>
    </w:p>
    <w:p w:rsidR="00DC70ED" w:rsidRPr="00C93164" w:rsidRDefault="00DC70ED" w:rsidP="00DC70ED">
      <w:pPr>
        <w:autoSpaceDE w:val="0"/>
        <w:autoSpaceDN w:val="0"/>
        <w:adjustRightInd w:val="0"/>
        <w:rPr>
          <w:rFonts w:ascii="Helvetica LT Std" w:hAnsi="Helvetica LT Std"/>
          <w:b/>
          <w:color w:val="000000"/>
          <w:sz w:val="24"/>
        </w:rPr>
      </w:pPr>
      <w:r>
        <w:rPr>
          <w:rFonts w:ascii="Helvetica LT Std" w:hAnsi="Helvetica LT Std"/>
          <w:color w:val="000000"/>
          <w:sz w:val="24"/>
        </w:rPr>
        <w:t xml:space="preserve">If an HSA account owner opens another HSA, the new </w:t>
      </w:r>
      <w:r w:rsidRPr="00C93164">
        <w:rPr>
          <w:rFonts w:ascii="Helvetica LT Std" w:hAnsi="Helvetica LT Std"/>
          <w:color w:val="000000"/>
          <w:sz w:val="24"/>
        </w:rPr>
        <w:t>HSA is deemed established the same day the first HSA was established so long as the earlier HSA had a positive balance at any point during the 18-month period ending on the date of the opening of the new HSA.</w:t>
      </w:r>
      <w:r>
        <w:rPr>
          <w:rStyle w:val="EndnoteReference"/>
          <w:rFonts w:ascii="Helvetica LT Std" w:hAnsi="Helvetica LT Std"/>
          <w:color w:val="000000"/>
          <w:sz w:val="24"/>
        </w:rPr>
        <w:endnoteReference w:id="4"/>
      </w:r>
      <w:r w:rsidRPr="00C93164">
        <w:rPr>
          <w:rFonts w:ascii="Helvetica LT Std" w:hAnsi="Helvetica LT Std"/>
          <w:color w:val="000000"/>
          <w:sz w:val="24"/>
        </w:rPr>
        <w:t xml:space="preserve"> </w:t>
      </w:r>
      <w:r>
        <w:rPr>
          <w:rFonts w:ascii="Helvetica LT Std" w:hAnsi="Helvetica LT Std"/>
          <w:color w:val="000000"/>
          <w:sz w:val="24"/>
        </w:rPr>
        <w:t xml:space="preserve"> For transfers and rollover of HSA funds, the </w:t>
      </w:r>
      <w:r w:rsidRPr="00C93164">
        <w:rPr>
          <w:rFonts w:ascii="Helvetica LT Std" w:hAnsi="Helvetica LT Std"/>
          <w:bCs/>
          <w:color w:val="000000"/>
          <w:sz w:val="24"/>
        </w:rPr>
        <w:t>establishment date stays the same as the date the original HSA.</w:t>
      </w:r>
      <w:r>
        <w:rPr>
          <w:rStyle w:val="EndnoteReference"/>
          <w:rFonts w:ascii="Helvetica LT Std" w:hAnsi="Helvetica LT Std"/>
          <w:bCs/>
          <w:color w:val="000000"/>
          <w:sz w:val="24"/>
        </w:rPr>
        <w:endnoteReference w:id="5"/>
      </w:r>
      <w:r w:rsidRPr="00C93164">
        <w:rPr>
          <w:rFonts w:ascii="Helvetica LT Std" w:hAnsi="Helvetica LT Std"/>
          <w:bCs/>
          <w:color w:val="000000"/>
          <w:sz w:val="24"/>
        </w:rPr>
        <w:t xml:space="preserve"> </w:t>
      </w:r>
    </w:p>
    <w:p w:rsidR="00DC70ED" w:rsidRDefault="00DC70ED" w:rsidP="00DC70ED">
      <w:pPr>
        <w:autoSpaceDE w:val="0"/>
        <w:autoSpaceDN w:val="0"/>
        <w:adjustRightInd w:val="0"/>
        <w:rPr>
          <w:rFonts w:ascii="Helvetica LT Std" w:hAnsi="Helvetica LT Std"/>
          <w:color w:val="000000"/>
          <w:sz w:val="24"/>
        </w:rPr>
      </w:pPr>
    </w:p>
    <w:p w:rsidR="00DC70ED" w:rsidRDefault="00DC70ED" w:rsidP="00DC70ED">
      <w:pPr>
        <w:autoSpaceDE w:val="0"/>
        <w:autoSpaceDN w:val="0"/>
        <w:adjustRightInd w:val="0"/>
        <w:rPr>
          <w:rFonts w:ascii="Helvetica LT Std" w:hAnsi="Helvetica LT Std"/>
          <w:color w:val="000000"/>
          <w:sz w:val="24"/>
        </w:rPr>
      </w:pPr>
      <w:r>
        <w:rPr>
          <w:rFonts w:ascii="Helvetica LT Std" w:hAnsi="Helvetica LT Std"/>
          <w:color w:val="000000"/>
          <w:sz w:val="24"/>
        </w:rPr>
        <w:t>_______________________________________________________________</w:t>
      </w:r>
    </w:p>
    <w:p w:rsidR="00DC70ED" w:rsidRDefault="005C4C79" w:rsidP="00DC70ED">
      <w:pPr>
        <w:pBdr>
          <w:bottom w:val="single" w:sz="12" w:space="1" w:color="auto"/>
        </w:pBdr>
        <w:autoSpaceDE w:val="0"/>
        <w:autoSpaceDN w:val="0"/>
        <w:adjustRightInd w:val="0"/>
        <w:rPr>
          <w:rFonts w:ascii="Helvetica LT Std" w:hAnsi="Helvetica LT Std"/>
          <w:color w:val="000000"/>
          <w:sz w:val="24"/>
        </w:rPr>
      </w:pPr>
      <w:r>
        <w:rPr>
          <w:rFonts w:ascii="Helvetica LT Std" w:hAnsi="Helvetica LT Std"/>
          <w:b/>
          <w:color w:val="000000"/>
          <w:sz w:val="24"/>
        </w:rPr>
        <w:t>Planning</w:t>
      </w:r>
      <w:r w:rsidR="00DC70ED" w:rsidRPr="00DD48B2">
        <w:rPr>
          <w:rFonts w:ascii="Helvetica LT Std" w:hAnsi="Helvetica LT Std"/>
          <w:b/>
          <w:color w:val="000000"/>
          <w:sz w:val="24"/>
        </w:rPr>
        <w:t xml:space="preserve"> Point:</w:t>
      </w:r>
      <w:r w:rsidR="00DC70ED">
        <w:rPr>
          <w:rFonts w:ascii="Helvetica LT Std" w:hAnsi="Helvetica LT Std"/>
          <w:color w:val="000000"/>
          <w:sz w:val="24"/>
        </w:rPr>
        <w:t xml:space="preserve"> </w:t>
      </w:r>
      <w:bookmarkStart w:id="0" w:name="_GoBack"/>
      <w:bookmarkEnd w:id="0"/>
      <w:r w:rsidR="00DC70ED">
        <w:rPr>
          <w:rFonts w:ascii="Helvetica LT Std" w:hAnsi="Helvetica LT Std"/>
          <w:color w:val="000000"/>
          <w:sz w:val="24"/>
        </w:rPr>
        <w:t xml:space="preserve">Upon a </w:t>
      </w:r>
      <w:r w:rsidR="00DC70ED" w:rsidRPr="00DD48B2">
        <w:rPr>
          <w:rFonts w:ascii="Helvetica LT Std" w:hAnsi="Helvetica LT Std"/>
          <w:color w:val="000000"/>
          <w:sz w:val="24"/>
        </w:rPr>
        <w:t>first reading, th</w:t>
      </w:r>
      <w:r w:rsidR="00DC70ED">
        <w:rPr>
          <w:rFonts w:ascii="Helvetica LT Std" w:hAnsi="Helvetica LT Std"/>
          <w:color w:val="000000"/>
          <w:sz w:val="24"/>
        </w:rPr>
        <w:t xml:space="preserve">e establishment date </w:t>
      </w:r>
      <w:r w:rsidR="00DC70ED" w:rsidRPr="00DD48B2">
        <w:rPr>
          <w:rFonts w:ascii="Helvetica LT Std" w:hAnsi="Helvetica LT Std"/>
          <w:color w:val="000000"/>
          <w:sz w:val="24"/>
        </w:rPr>
        <w:t>rule appears to be simple</w:t>
      </w:r>
      <w:r w:rsidR="00DC70ED">
        <w:rPr>
          <w:rFonts w:ascii="Helvetica LT Std" w:hAnsi="Helvetica LT Std"/>
          <w:color w:val="000000"/>
          <w:sz w:val="24"/>
        </w:rPr>
        <w:t xml:space="preserve"> and follow a </w:t>
      </w:r>
      <w:r w:rsidR="00DC70ED" w:rsidRPr="00DD48B2">
        <w:rPr>
          <w:rFonts w:ascii="Helvetica LT Std" w:hAnsi="Helvetica LT Std"/>
          <w:color w:val="000000"/>
          <w:sz w:val="24"/>
        </w:rPr>
        <w:t xml:space="preserve">common sense </w:t>
      </w:r>
      <w:r w:rsidR="00DC70ED">
        <w:rPr>
          <w:rFonts w:ascii="Helvetica LT Std" w:hAnsi="Helvetica LT Std"/>
          <w:color w:val="000000"/>
          <w:sz w:val="24"/>
        </w:rPr>
        <w:t>approach. A</w:t>
      </w:r>
      <w:r w:rsidR="00DC70ED" w:rsidRPr="00DD48B2">
        <w:rPr>
          <w:rFonts w:ascii="Helvetica LT Std" w:hAnsi="Helvetica LT Std"/>
          <w:color w:val="000000"/>
          <w:sz w:val="24"/>
        </w:rPr>
        <w:t>ccordingly</w:t>
      </w:r>
      <w:r w:rsidR="00DC70ED">
        <w:rPr>
          <w:rFonts w:ascii="Helvetica LT Std" w:hAnsi="Helvetica LT Std"/>
          <w:color w:val="000000"/>
          <w:sz w:val="24"/>
        </w:rPr>
        <w:t>,</w:t>
      </w:r>
      <w:r w:rsidR="00DC70ED" w:rsidRPr="00DD48B2">
        <w:rPr>
          <w:rFonts w:ascii="Helvetica LT Std" w:hAnsi="Helvetica LT Std"/>
          <w:color w:val="000000"/>
          <w:sz w:val="24"/>
        </w:rPr>
        <w:t xml:space="preserve"> many </w:t>
      </w:r>
      <w:r w:rsidR="00DC70ED">
        <w:rPr>
          <w:rFonts w:ascii="Helvetica LT Std" w:hAnsi="Helvetica LT Std"/>
          <w:color w:val="000000"/>
          <w:sz w:val="24"/>
        </w:rPr>
        <w:t>account owner</w:t>
      </w:r>
      <w:r w:rsidR="00DC70ED" w:rsidRPr="00DD48B2">
        <w:rPr>
          <w:rFonts w:ascii="Helvetica LT Std" w:hAnsi="Helvetica LT Std"/>
          <w:color w:val="000000"/>
          <w:sz w:val="24"/>
        </w:rPr>
        <w:t>s</w:t>
      </w:r>
      <w:r w:rsidR="00DC70ED">
        <w:rPr>
          <w:rFonts w:ascii="Helvetica LT Std" w:hAnsi="Helvetica LT Std"/>
          <w:color w:val="000000"/>
          <w:sz w:val="24"/>
        </w:rPr>
        <w:t xml:space="preserve"> and even professionals </w:t>
      </w:r>
      <w:r w:rsidR="00DC70ED" w:rsidRPr="00DD48B2">
        <w:rPr>
          <w:rFonts w:ascii="Helvetica LT Std" w:hAnsi="Helvetica LT Std"/>
          <w:color w:val="000000"/>
          <w:sz w:val="24"/>
        </w:rPr>
        <w:t xml:space="preserve">do not give the date much thought. Understanding the establishment date rules; however, can help HSA </w:t>
      </w:r>
      <w:r w:rsidR="00DC70ED">
        <w:rPr>
          <w:rFonts w:ascii="Helvetica LT Std" w:hAnsi="Helvetica LT Std"/>
          <w:color w:val="000000"/>
          <w:sz w:val="24"/>
        </w:rPr>
        <w:t>account owner</w:t>
      </w:r>
      <w:r w:rsidR="00DC70ED" w:rsidRPr="00DD48B2">
        <w:rPr>
          <w:rFonts w:ascii="Helvetica LT Std" w:hAnsi="Helvetica LT Std"/>
          <w:color w:val="000000"/>
          <w:sz w:val="24"/>
        </w:rPr>
        <w:t xml:space="preserve">s maximize HSA benefits. </w:t>
      </w:r>
      <w:r w:rsidR="00DC70ED" w:rsidRPr="00DD48B2">
        <w:rPr>
          <w:rFonts w:ascii="Helvetica LT Std" w:hAnsi="Helvetica LT Std"/>
          <w:color w:val="000000"/>
          <w:sz w:val="24"/>
        </w:rPr>
        <w:br/>
      </w:r>
      <w:r w:rsidR="00DC70ED" w:rsidRPr="00DD48B2">
        <w:rPr>
          <w:rFonts w:ascii="Helvetica LT Std" w:hAnsi="Helvetica LT Std"/>
          <w:color w:val="000000"/>
          <w:sz w:val="24"/>
        </w:rPr>
        <w:br/>
        <w:t>The rule allows</w:t>
      </w:r>
      <w:r w:rsidR="00DC70ED">
        <w:rPr>
          <w:rFonts w:ascii="Helvetica LT Std" w:hAnsi="Helvetica LT Std"/>
          <w:color w:val="000000"/>
          <w:sz w:val="24"/>
        </w:rPr>
        <w:t xml:space="preserve"> </w:t>
      </w:r>
      <w:r w:rsidR="00DC70ED" w:rsidRPr="00DD48B2">
        <w:rPr>
          <w:rFonts w:ascii="Helvetica LT Std" w:hAnsi="Helvetica LT Std"/>
          <w:color w:val="000000"/>
          <w:sz w:val="24"/>
        </w:rPr>
        <w:t xml:space="preserve">HSA </w:t>
      </w:r>
      <w:r w:rsidR="00DC70ED">
        <w:rPr>
          <w:rFonts w:ascii="Helvetica LT Std" w:hAnsi="Helvetica LT Std"/>
          <w:color w:val="000000"/>
          <w:sz w:val="24"/>
        </w:rPr>
        <w:t>account owner</w:t>
      </w:r>
      <w:r w:rsidR="00DC70ED" w:rsidRPr="00DD48B2">
        <w:rPr>
          <w:rFonts w:ascii="Helvetica LT Std" w:hAnsi="Helvetica LT Std"/>
          <w:color w:val="000000"/>
          <w:sz w:val="24"/>
        </w:rPr>
        <w:t xml:space="preserve">s </w:t>
      </w:r>
      <w:r w:rsidR="00DC70ED">
        <w:rPr>
          <w:rFonts w:ascii="Helvetica LT Std" w:hAnsi="Helvetica LT Std"/>
          <w:color w:val="000000"/>
          <w:sz w:val="24"/>
        </w:rPr>
        <w:t xml:space="preserve">with a normal amount of medical expenses </w:t>
      </w:r>
      <w:r w:rsidR="00DC70ED" w:rsidRPr="00DD48B2">
        <w:rPr>
          <w:rFonts w:ascii="Helvetica LT Std" w:hAnsi="Helvetica LT Std"/>
          <w:color w:val="000000"/>
          <w:sz w:val="24"/>
        </w:rPr>
        <w:t xml:space="preserve">to maximize HSA tax benefits by paying for most, if not all, qualified medical expenses tax-free through their HSA, even in years when the HSA </w:t>
      </w:r>
      <w:r w:rsidR="00DC70ED">
        <w:rPr>
          <w:rFonts w:ascii="Helvetica LT Std" w:hAnsi="Helvetica LT Std"/>
          <w:color w:val="000000"/>
          <w:sz w:val="24"/>
        </w:rPr>
        <w:t>account owner</w:t>
      </w:r>
      <w:r w:rsidR="00DC70ED" w:rsidRPr="00DD48B2">
        <w:rPr>
          <w:rFonts w:ascii="Helvetica LT Std" w:hAnsi="Helvetica LT Std"/>
          <w:color w:val="000000"/>
          <w:sz w:val="24"/>
        </w:rPr>
        <w:t>s’ medical expenses exceed the HSA limits</w:t>
      </w:r>
      <w:r w:rsidR="00DC70ED">
        <w:rPr>
          <w:rFonts w:ascii="Helvetica LT Std" w:hAnsi="Helvetica LT Std"/>
          <w:color w:val="000000"/>
          <w:sz w:val="24"/>
        </w:rPr>
        <w:t xml:space="preserve"> or in years when the account owner is not currently eligible to contribute to an HSA</w:t>
      </w:r>
      <w:r w:rsidR="00DC70ED" w:rsidRPr="00DD48B2">
        <w:rPr>
          <w:rFonts w:ascii="Helvetica LT Std" w:hAnsi="Helvetica LT Std"/>
          <w:color w:val="000000"/>
          <w:sz w:val="24"/>
        </w:rPr>
        <w:t xml:space="preserve">. </w:t>
      </w:r>
      <w:r w:rsidR="00DC70ED">
        <w:rPr>
          <w:rFonts w:ascii="Helvetica LT Std" w:hAnsi="Helvetica LT Std"/>
          <w:color w:val="000000"/>
          <w:sz w:val="24"/>
        </w:rPr>
        <w:t>The rule also allows an account owner to maximize tax-deferred earnings by delaying reimbursement of medical expenses from the HSA.</w:t>
      </w:r>
      <w:r w:rsidR="00DC70ED" w:rsidRPr="0046577F">
        <w:rPr>
          <w:rFonts w:ascii="Helvetica LT Std" w:hAnsi="Helvetica LT Std"/>
          <w:color w:val="000000"/>
          <w:sz w:val="24"/>
        </w:rPr>
        <w:t xml:space="preserve"> </w:t>
      </w:r>
      <w:r w:rsidR="00DC70ED">
        <w:rPr>
          <w:rFonts w:ascii="Helvetica LT Std" w:hAnsi="Helvetica LT Std"/>
          <w:color w:val="000000"/>
          <w:sz w:val="24"/>
        </w:rPr>
        <w:t xml:space="preserve">The key is that the rule simply requires that the HSA be established in order to use it for qualified medical expenses. The rule does not refer to the amount of money available in the HSA.  </w:t>
      </w:r>
    </w:p>
    <w:p w:rsidR="00DC70ED" w:rsidRDefault="00DC70ED" w:rsidP="00DC70ED">
      <w:pPr>
        <w:pBdr>
          <w:bottom w:val="single" w:sz="12" w:space="1" w:color="auto"/>
        </w:pBdr>
        <w:autoSpaceDE w:val="0"/>
        <w:autoSpaceDN w:val="0"/>
        <w:adjustRightInd w:val="0"/>
        <w:rPr>
          <w:rFonts w:ascii="Helvetica LT Std" w:hAnsi="Helvetica LT Std"/>
          <w:color w:val="000000"/>
          <w:sz w:val="24"/>
        </w:rPr>
      </w:pPr>
    </w:p>
    <w:p w:rsidR="00DC70ED" w:rsidRDefault="00DC70ED" w:rsidP="00DC70ED">
      <w:pPr>
        <w:pBdr>
          <w:bottom w:val="single" w:sz="12" w:space="1" w:color="auto"/>
        </w:pBdr>
        <w:autoSpaceDE w:val="0"/>
        <w:autoSpaceDN w:val="0"/>
        <w:adjustRightInd w:val="0"/>
        <w:rPr>
          <w:rFonts w:ascii="Helvetica LT Std" w:hAnsi="Helvetica LT Std"/>
          <w:color w:val="000000"/>
          <w:sz w:val="24"/>
        </w:rPr>
      </w:pPr>
      <w:r>
        <w:rPr>
          <w:rFonts w:ascii="Helvetica LT Std" w:hAnsi="Helvetica LT Std"/>
          <w:color w:val="000000"/>
          <w:sz w:val="24"/>
        </w:rPr>
        <w:t xml:space="preserve">For individuals that anticipate good health and prefer not to contribute to an HSA, the establishment date rule allows the individual to establish the HSA with a nominal dollar amount.  Having the HSA established before a medical expense is incurred, provides the individual the flexibility to fund the HSA periodically only after a medical expense is incurred and the amount known. If the expense is larger than the current year’s HSA contribution limit allows, the individual can pay </w:t>
      </w:r>
      <w:r>
        <w:rPr>
          <w:rFonts w:ascii="Helvetica LT Std" w:hAnsi="Helvetica LT Std"/>
          <w:color w:val="000000"/>
          <w:sz w:val="24"/>
        </w:rPr>
        <w:lastRenderedPageBreak/>
        <w:t xml:space="preserve">the expense with non-HSA funds that are not tax-favored (e.g. FSA or HRA could not be used) and then wait for future year contributions to reimburse from the HSA. This of course assumes the individual remains HSA eligible. </w:t>
      </w:r>
    </w:p>
    <w:p w:rsidR="00DC70ED" w:rsidRDefault="00DC70ED" w:rsidP="00DC70ED">
      <w:pPr>
        <w:pBdr>
          <w:bottom w:val="single" w:sz="12" w:space="1" w:color="auto"/>
        </w:pBdr>
        <w:autoSpaceDE w:val="0"/>
        <w:autoSpaceDN w:val="0"/>
        <w:adjustRightInd w:val="0"/>
        <w:rPr>
          <w:rFonts w:ascii="Helvetica LT Std" w:hAnsi="Helvetica LT Std"/>
          <w:color w:val="000000"/>
          <w:sz w:val="24"/>
        </w:rPr>
      </w:pPr>
    </w:p>
    <w:p w:rsidR="00DC70ED" w:rsidRDefault="00DC70ED" w:rsidP="00DC70ED">
      <w:pPr>
        <w:pBdr>
          <w:bottom w:val="single" w:sz="12" w:space="1" w:color="auto"/>
        </w:pBdr>
        <w:autoSpaceDE w:val="0"/>
        <w:autoSpaceDN w:val="0"/>
        <w:adjustRightInd w:val="0"/>
        <w:rPr>
          <w:rFonts w:ascii="Helvetica LT Std" w:hAnsi="Helvetica LT Std"/>
          <w:color w:val="000000"/>
          <w:sz w:val="24"/>
        </w:rPr>
      </w:pPr>
      <w:r>
        <w:rPr>
          <w:rFonts w:ascii="Helvetica LT Std" w:hAnsi="Helvetica LT Std"/>
          <w:color w:val="000000"/>
          <w:sz w:val="24"/>
        </w:rPr>
        <w:t xml:space="preserve">An individual losing eligibility that wants to maximize tax planning should keep the HSA open with a small balance to maintain the establishment date. This would allow the individual to save medical receipts during the period of ineligibility and potentially use future HSA contributions to reimburse for those qualified medical expenses after the individual regains HSA eligibility and begins making contributions again. The ability to pay for current year expenses with future year HSA contributions provides an opportunity for individuals losing their HSA eligibility before a large reserve has accumulated. </w:t>
      </w:r>
    </w:p>
    <w:p w:rsidR="00DC70ED" w:rsidRDefault="00DC70ED" w:rsidP="00DC70ED">
      <w:pPr>
        <w:pBdr>
          <w:bottom w:val="single" w:sz="12" w:space="1" w:color="auto"/>
        </w:pBdr>
        <w:autoSpaceDE w:val="0"/>
        <w:autoSpaceDN w:val="0"/>
        <w:adjustRightInd w:val="0"/>
        <w:rPr>
          <w:rFonts w:ascii="Helvetica LT Std" w:hAnsi="Helvetica LT Std"/>
          <w:color w:val="000000"/>
          <w:sz w:val="24"/>
        </w:rPr>
      </w:pPr>
    </w:p>
    <w:p w:rsidR="00DC70ED" w:rsidRDefault="00DC70ED" w:rsidP="00DC70ED">
      <w:pPr>
        <w:pBdr>
          <w:bottom w:val="single" w:sz="12" w:space="1" w:color="auto"/>
        </w:pBdr>
        <w:autoSpaceDE w:val="0"/>
        <w:autoSpaceDN w:val="0"/>
        <w:adjustRightInd w:val="0"/>
        <w:rPr>
          <w:rFonts w:ascii="Helvetica LT Std" w:hAnsi="Helvetica LT Std"/>
          <w:color w:val="000000"/>
          <w:sz w:val="24"/>
        </w:rPr>
      </w:pPr>
      <w:r>
        <w:rPr>
          <w:rFonts w:ascii="Helvetica LT Std" w:hAnsi="Helvetica LT Std"/>
          <w:color w:val="000000"/>
          <w:sz w:val="24"/>
        </w:rPr>
        <w:t>Some individuals use this rule to maximize tax deferral by fully funding the HSA each year and then not using the HSA for qualified medical expenses. This approach allows the full HSA to grow tax-deferred. Assuming the taxpayer is actually incurring medical expenses</w:t>
      </w:r>
      <w:r w:rsidR="005C4C79">
        <w:rPr>
          <w:rFonts w:ascii="Helvetica LT Std" w:hAnsi="Helvetica LT Std"/>
          <w:color w:val="000000"/>
          <w:sz w:val="24"/>
        </w:rPr>
        <w:t>,</w:t>
      </w:r>
      <w:r>
        <w:rPr>
          <w:rFonts w:ascii="Helvetica LT Std" w:hAnsi="Helvetica LT Std"/>
          <w:color w:val="000000"/>
          <w:sz w:val="24"/>
        </w:rPr>
        <w:t xml:space="preserve"> the taxpayer can save those receipts and essentially build a fund within the HSA that is available for immediate tax-free distribution at any time. HSA rules allow for the reimbursement of qualified medical expenses incurred after the establishment date at any point in the future. </w:t>
      </w:r>
    </w:p>
    <w:p w:rsidR="00DC70ED" w:rsidRDefault="00DC70ED" w:rsidP="00DC70ED">
      <w:pPr>
        <w:autoSpaceDE w:val="0"/>
        <w:autoSpaceDN w:val="0"/>
        <w:adjustRightInd w:val="0"/>
        <w:rPr>
          <w:rFonts w:ascii="Helvetica LT Std" w:hAnsi="Helvetica LT Std"/>
          <w:color w:val="000000"/>
          <w:sz w:val="24"/>
        </w:rPr>
      </w:pPr>
    </w:p>
    <w:p w:rsidR="00DC70ED" w:rsidRPr="00491FA6" w:rsidRDefault="00DC70ED" w:rsidP="00DC70ED">
      <w:pPr>
        <w:autoSpaceDE w:val="0"/>
        <w:autoSpaceDN w:val="0"/>
        <w:adjustRightInd w:val="0"/>
        <w:rPr>
          <w:rFonts w:ascii="Helvetica LT Std" w:hAnsi="Helvetica LT Std"/>
          <w:bCs/>
          <w:color w:val="000000"/>
          <w:sz w:val="24"/>
        </w:rPr>
      </w:pPr>
    </w:p>
    <w:p w:rsidR="00DC70ED" w:rsidRPr="00DD48B2" w:rsidRDefault="00DC70ED" w:rsidP="00DC70ED">
      <w:pPr>
        <w:autoSpaceDE w:val="0"/>
        <w:autoSpaceDN w:val="0"/>
        <w:adjustRightInd w:val="0"/>
        <w:rPr>
          <w:rFonts w:ascii="Helvetica LT Std" w:hAnsi="Helvetica LT Std"/>
          <w:color w:val="000000"/>
          <w:sz w:val="24"/>
        </w:rPr>
      </w:pPr>
    </w:p>
    <w:p w:rsidR="00DC70ED" w:rsidRPr="00DD48B2" w:rsidRDefault="00DC70ED" w:rsidP="00DC70ED">
      <w:pPr>
        <w:autoSpaceDE w:val="0"/>
        <w:autoSpaceDN w:val="0"/>
        <w:adjustRightInd w:val="0"/>
        <w:rPr>
          <w:rFonts w:ascii="Helvetica LT Std" w:hAnsi="Helvetica LT Std"/>
          <w:color w:val="000000"/>
          <w:sz w:val="24"/>
        </w:rPr>
      </w:pPr>
    </w:p>
    <w:p w:rsidR="00DC70ED" w:rsidRDefault="00DC70ED" w:rsidP="00DC70ED">
      <w:pPr>
        <w:pStyle w:val="PA"/>
      </w:pPr>
    </w:p>
    <w:p w:rsidR="00CD052D" w:rsidRDefault="003D15BD"/>
    <w:sectPr w:rsidR="00CD052D" w:rsidSect="00D1547C">
      <w:footnotePr>
        <w:numRestart w:val="eachPage"/>
      </w:footnotePr>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C0" w:rsidRDefault="00C461C0" w:rsidP="00DC70ED">
      <w:r>
        <w:separator/>
      </w:r>
    </w:p>
  </w:endnote>
  <w:endnote w:type="continuationSeparator" w:id="0">
    <w:p w:rsidR="00C461C0" w:rsidRDefault="00C461C0" w:rsidP="00DC70ED">
      <w:r>
        <w:continuationSeparator/>
      </w:r>
    </w:p>
  </w:endnote>
  <w:endnote w:id="1">
    <w:p w:rsidR="00DC70ED" w:rsidRDefault="00DC70ED" w:rsidP="00DC70ED">
      <w:pPr>
        <w:pStyle w:val="EndnoteText"/>
      </w:pPr>
      <w:r>
        <w:rPr>
          <w:rStyle w:val="EndnoteReference"/>
        </w:rPr>
        <w:endnoteRef/>
      </w:r>
      <w:r>
        <w:t xml:space="preserve"> IRS Notice 2004-2, A26. </w:t>
      </w:r>
    </w:p>
  </w:endnote>
  <w:endnote w:id="2">
    <w:p w:rsidR="00DC70ED" w:rsidRDefault="00DC70ED" w:rsidP="00DC70ED">
      <w:pPr>
        <w:autoSpaceDE w:val="0"/>
        <w:autoSpaceDN w:val="0"/>
        <w:adjustRightInd w:val="0"/>
      </w:pPr>
      <w:r>
        <w:rPr>
          <w:rStyle w:val="EndnoteReference"/>
        </w:rPr>
        <w:endnoteRef/>
      </w:r>
      <w:r>
        <w:t xml:space="preserve"> </w:t>
      </w:r>
      <w:r w:rsidRPr="00C93164">
        <w:t>IRS Notice 2008-59, A38.</w:t>
      </w:r>
    </w:p>
  </w:endnote>
  <w:endnote w:id="3">
    <w:p w:rsidR="00DC70ED" w:rsidRDefault="00DC70ED" w:rsidP="00DC70ED">
      <w:pPr>
        <w:pStyle w:val="EndnoteText"/>
      </w:pPr>
      <w:r>
        <w:rPr>
          <w:rStyle w:val="EndnoteReference"/>
        </w:rPr>
        <w:endnoteRef/>
      </w:r>
      <w:r>
        <w:t xml:space="preserve"> IRC Sec 223 (d</w:t>
      </w:r>
      <w:proofErr w:type="gramStart"/>
      <w:r>
        <w:t>)(</w:t>
      </w:r>
      <w:proofErr w:type="gramEnd"/>
      <w:r>
        <w:t>1)(B); Instructions to IRS Form 5305-C.</w:t>
      </w:r>
    </w:p>
  </w:endnote>
  <w:endnote w:id="4">
    <w:p w:rsidR="00DC70ED" w:rsidRDefault="00DC70ED" w:rsidP="00DC70ED">
      <w:pPr>
        <w:autoSpaceDE w:val="0"/>
        <w:autoSpaceDN w:val="0"/>
        <w:adjustRightInd w:val="0"/>
      </w:pPr>
      <w:r w:rsidRPr="00C93164">
        <w:endnoteRef/>
      </w:r>
      <w:r>
        <w:t xml:space="preserve"> </w:t>
      </w:r>
      <w:r w:rsidRPr="00C93164">
        <w:t xml:space="preserve">IRS Notice 2008-59, </w:t>
      </w:r>
      <w:r>
        <w:t>A</w:t>
      </w:r>
      <w:r w:rsidRPr="00C93164">
        <w:t>41.</w:t>
      </w:r>
    </w:p>
  </w:endnote>
  <w:endnote w:id="5">
    <w:p w:rsidR="00DC70ED" w:rsidRPr="00C93164" w:rsidRDefault="00DC70ED" w:rsidP="00DC70ED">
      <w:pPr>
        <w:autoSpaceDE w:val="0"/>
        <w:autoSpaceDN w:val="0"/>
        <w:adjustRightInd w:val="0"/>
        <w:rPr>
          <w:b/>
          <w:bCs/>
        </w:rPr>
      </w:pPr>
      <w:r w:rsidRPr="00C93164">
        <w:endnoteRef/>
      </w:r>
      <w:r>
        <w:t xml:space="preserve"> </w:t>
      </w:r>
      <w:r w:rsidRPr="00C93164">
        <w:t>IRS Notice 2008-59, A40.</w:t>
      </w:r>
    </w:p>
    <w:p w:rsidR="00DC70ED" w:rsidRDefault="00DC70ED" w:rsidP="00DC70E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altName w:val="Baskerville Old Face"/>
    <w:charset w:val="00"/>
    <w:family w:val="roman"/>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1" w:usb1="5000204A" w:usb2="00000000" w:usb3="00000000" w:csb0="0000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C0" w:rsidRDefault="00C461C0" w:rsidP="00DC70ED">
      <w:r>
        <w:separator/>
      </w:r>
    </w:p>
  </w:footnote>
  <w:footnote w:type="continuationSeparator" w:id="0">
    <w:p w:rsidR="00C461C0" w:rsidRDefault="00C461C0" w:rsidP="00DC7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ED"/>
    <w:rsid w:val="001178F0"/>
    <w:rsid w:val="00233DA0"/>
    <w:rsid w:val="003D15BD"/>
    <w:rsid w:val="005C4C79"/>
    <w:rsid w:val="00BF37CB"/>
    <w:rsid w:val="00C461C0"/>
    <w:rsid w:val="00DC70ED"/>
    <w:rsid w:val="00E7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ED"/>
    <w:pPr>
      <w:spacing w:after="0" w:line="240" w:lineRule="auto"/>
    </w:pPr>
    <w:rPr>
      <w:rFonts w:ascii="Perpetua" w:eastAsia="Times New Roman" w:hAnsi="Perpetu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DC70ED"/>
    <w:pPr>
      <w:spacing w:after="240" w:line="240" w:lineRule="auto"/>
      <w:ind w:firstLine="288"/>
      <w:jc w:val="both"/>
    </w:pPr>
    <w:rPr>
      <w:rFonts w:ascii="Helvetica LT Std" w:eastAsia="Times New Roman" w:hAnsi="Helvetica LT Std" w:cs="Times New Roman"/>
      <w:color w:val="000000"/>
      <w:sz w:val="24"/>
      <w:szCs w:val="20"/>
    </w:rPr>
  </w:style>
  <w:style w:type="paragraph" w:customStyle="1" w:styleId="QU">
    <w:name w:val="QU"/>
    <w:rsid w:val="00DC70ED"/>
    <w:pPr>
      <w:spacing w:after="240" w:line="240" w:lineRule="auto"/>
      <w:jc w:val="both"/>
    </w:pPr>
    <w:rPr>
      <w:rFonts w:ascii="Helvetica LT Std" w:eastAsia="Times New Roman" w:hAnsi="Helvetica LT Std" w:cs="Times New Roman"/>
      <w:b/>
      <w:color w:val="000080"/>
      <w:sz w:val="24"/>
      <w:szCs w:val="20"/>
    </w:rPr>
  </w:style>
  <w:style w:type="character" w:customStyle="1" w:styleId="PAChar">
    <w:name w:val="PA Char"/>
    <w:link w:val="PA"/>
    <w:rsid w:val="00DC70ED"/>
    <w:rPr>
      <w:rFonts w:ascii="Helvetica LT Std" w:eastAsia="Times New Roman" w:hAnsi="Helvetica LT Std" w:cs="Times New Roman"/>
      <w:color w:val="000000"/>
      <w:sz w:val="24"/>
      <w:szCs w:val="20"/>
    </w:rPr>
  </w:style>
  <w:style w:type="paragraph" w:styleId="EndnoteText">
    <w:name w:val="endnote text"/>
    <w:basedOn w:val="Normal"/>
    <w:link w:val="EndnoteTextChar"/>
    <w:rsid w:val="00DC70ED"/>
  </w:style>
  <w:style w:type="character" w:customStyle="1" w:styleId="EndnoteTextChar">
    <w:name w:val="Endnote Text Char"/>
    <w:basedOn w:val="DefaultParagraphFont"/>
    <w:link w:val="EndnoteText"/>
    <w:rsid w:val="00DC70ED"/>
    <w:rPr>
      <w:rFonts w:ascii="Perpetua" w:eastAsia="Times New Roman" w:hAnsi="Perpetua" w:cs="Times New Roman"/>
      <w:sz w:val="20"/>
      <w:szCs w:val="20"/>
    </w:rPr>
  </w:style>
  <w:style w:type="character" w:styleId="EndnoteReference">
    <w:name w:val="endnote reference"/>
    <w:rsid w:val="00DC70ED"/>
    <w:rPr>
      <w:vertAlign w:val="superscript"/>
    </w:rPr>
  </w:style>
  <w:style w:type="paragraph" w:styleId="ListParagraph">
    <w:name w:val="List Paragraph"/>
    <w:basedOn w:val="Normal"/>
    <w:qFormat/>
    <w:rsid w:val="00DC70ED"/>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ED"/>
    <w:pPr>
      <w:spacing w:after="0" w:line="240" w:lineRule="auto"/>
    </w:pPr>
    <w:rPr>
      <w:rFonts w:ascii="Perpetua" w:eastAsia="Times New Roman" w:hAnsi="Perpetu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DC70ED"/>
    <w:pPr>
      <w:spacing w:after="240" w:line="240" w:lineRule="auto"/>
      <w:ind w:firstLine="288"/>
      <w:jc w:val="both"/>
    </w:pPr>
    <w:rPr>
      <w:rFonts w:ascii="Helvetica LT Std" w:eastAsia="Times New Roman" w:hAnsi="Helvetica LT Std" w:cs="Times New Roman"/>
      <w:color w:val="000000"/>
      <w:sz w:val="24"/>
      <w:szCs w:val="20"/>
    </w:rPr>
  </w:style>
  <w:style w:type="paragraph" w:customStyle="1" w:styleId="QU">
    <w:name w:val="QU"/>
    <w:rsid w:val="00DC70ED"/>
    <w:pPr>
      <w:spacing w:after="240" w:line="240" w:lineRule="auto"/>
      <w:jc w:val="both"/>
    </w:pPr>
    <w:rPr>
      <w:rFonts w:ascii="Helvetica LT Std" w:eastAsia="Times New Roman" w:hAnsi="Helvetica LT Std" w:cs="Times New Roman"/>
      <w:b/>
      <w:color w:val="000080"/>
      <w:sz w:val="24"/>
      <w:szCs w:val="20"/>
    </w:rPr>
  </w:style>
  <w:style w:type="character" w:customStyle="1" w:styleId="PAChar">
    <w:name w:val="PA Char"/>
    <w:link w:val="PA"/>
    <w:rsid w:val="00DC70ED"/>
    <w:rPr>
      <w:rFonts w:ascii="Helvetica LT Std" w:eastAsia="Times New Roman" w:hAnsi="Helvetica LT Std" w:cs="Times New Roman"/>
      <w:color w:val="000000"/>
      <w:sz w:val="24"/>
      <w:szCs w:val="20"/>
    </w:rPr>
  </w:style>
  <w:style w:type="paragraph" w:styleId="EndnoteText">
    <w:name w:val="endnote text"/>
    <w:basedOn w:val="Normal"/>
    <w:link w:val="EndnoteTextChar"/>
    <w:rsid w:val="00DC70ED"/>
  </w:style>
  <w:style w:type="character" w:customStyle="1" w:styleId="EndnoteTextChar">
    <w:name w:val="Endnote Text Char"/>
    <w:basedOn w:val="DefaultParagraphFont"/>
    <w:link w:val="EndnoteText"/>
    <w:rsid w:val="00DC70ED"/>
    <w:rPr>
      <w:rFonts w:ascii="Perpetua" w:eastAsia="Times New Roman" w:hAnsi="Perpetua" w:cs="Times New Roman"/>
      <w:sz w:val="20"/>
      <w:szCs w:val="20"/>
    </w:rPr>
  </w:style>
  <w:style w:type="character" w:styleId="EndnoteReference">
    <w:name w:val="endnote reference"/>
    <w:rsid w:val="00DC70ED"/>
    <w:rPr>
      <w:vertAlign w:val="superscript"/>
    </w:rPr>
  </w:style>
  <w:style w:type="paragraph" w:styleId="ListParagraph">
    <w:name w:val="List Paragraph"/>
    <w:basedOn w:val="Normal"/>
    <w:qFormat/>
    <w:rsid w:val="00DC70ED"/>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Johnson</dc:creator>
  <cp:lastModifiedBy>rcline</cp:lastModifiedBy>
  <cp:revision>2</cp:revision>
  <dcterms:created xsi:type="dcterms:W3CDTF">2015-06-01T20:10:00Z</dcterms:created>
  <dcterms:modified xsi:type="dcterms:W3CDTF">2015-06-01T20:10:00Z</dcterms:modified>
</cp:coreProperties>
</file>