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37" w:rsidRDefault="00CC3937" w:rsidP="00CC3937">
      <w:pPr>
        <w:pStyle w:val="QU"/>
      </w:pPr>
      <w:r>
        <w:t xml:space="preserve">373. Must an employer offering Health Savings Accounts (HSAs) to its employees contribute the same amount for each employee? </w:t>
      </w:r>
    </w:p>
    <w:p w:rsidR="004B0944" w:rsidRDefault="004B0944" w:rsidP="00394216">
      <w:pPr>
        <w:pStyle w:val="QU"/>
      </w:pPr>
    </w:p>
    <w:p w:rsidR="004B0944" w:rsidRDefault="00667467" w:rsidP="00556B98">
      <w:pPr>
        <w:pStyle w:val="PA"/>
      </w:pPr>
      <w:r w:rsidRPr="00556B98">
        <w:t>An employer offering HSAs to its employees must make comparable contributions to the HSAs for all comparable participating employees for each coverage period during the calendar year.</w:t>
      </w:r>
      <w:r w:rsidRPr="005B5A36">
        <w:rPr>
          <w:vertAlign w:val="superscript"/>
        </w:rPr>
        <w:footnoteReference w:id="1"/>
      </w:r>
      <w:r w:rsidRPr="00556B98">
        <w:t xml:space="preserve"> IRC Section 4980G incorporates the comparability rules of IRC Section 4980E by reference.</w:t>
      </w:r>
      <w:r w:rsidRPr="005B5A36">
        <w:rPr>
          <w:vertAlign w:val="superscript"/>
        </w:rPr>
        <w:footnoteReference w:id="2"/>
      </w:r>
    </w:p>
    <w:p w:rsidR="004B0944" w:rsidRDefault="004B0944" w:rsidP="00556B98">
      <w:pPr>
        <w:pStyle w:val="PA"/>
      </w:pPr>
    </w:p>
    <w:p w:rsidR="004B0944" w:rsidRDefault="00667467" w:rsidP="00556B98">
      <w:pPr>
        <w:pStyle w:val="PA"/>
        <w:rPr>
          <w:spacing w:val="2"/>
        </w:rPr>
      </w:pPr>
      <w:r w:rsidRPr="00556B98">
        <w:rPr>
          <w:spacing w:val="2"/>
        </w:rPr>
        <w:t xml:space="preserve">Comparable contributions are contributions that either </w:t>
      </w:r>
      <w:r w:rsidR="00E7069E">
        <w:rPr>
          <w:spacing w:val="2"/>
        </w:rPr>
        <w:t xml:space="preserve">are </w:t>
      </w:r>
      <w:r w:rsidRPr="00556B98">
        <w:rPr>
          <w:spacing w:val="2"/>
        </w:rPr>
        <w:t xml:space="preserve">the same amount or the same percentage of the annual deductible limit under </w:t>
      </w:r>
      <w:r w:rsidR="00E7069E">
        <w:rPr>
          <w:spacing w:val="2"/>
        </w:rPr>
        <w:t>a</w:t>
      </w:r>
      <w:r w:rsidRPr="00556B98">
        <w:rPr>
          <w:spacing w:val="2"/>
        </w:rPr>
        <w:t xml:space="preserve"> high deductible health plan (HDHP).</w:t>
      </w:r>
      <w:r w:rsidRPr="005B5A36">
        <w:rPr>
          <w:spacing w:val="2"/>
          <w:vertAlign w:val="superscript"/>
        </w:rPr>
        <w:footnoteReference w:id="3"/>
      </w:r>
    </w:p>
    <w:p w:rsidR="004B0944" w:rsidRDefault="004B0944" w:rsidP="00556B98">
      <w:pPr>
        <w:pStyle w:val="PA"/>
        <w:rPr>
          <w:spacing w:val="2"/>
        </w:rPr>
      </w:pPr>
    </w:p>
    <w:p w:rsidR="004B0944" w:rsidRDefault="00667467" w:rsidP="00556B98">
      <w:pPr>
        <w:pStyle w:val="PA"/>
      </w:pPr>
      <w:r w:rsidRPr="00556B98">
        <w:t xml:space="preserve">Comparable participating employees are all employees who </w:t>
      </w:r>
      <w:r w:rsidR="00407CA9" w:rsidRPr="00556B98">
        <w:t xml:space="preserve">are </w:t>
      </w:r>
      <w:r w:rsidRPr="00556B98">
        <w:t xml:space="preserve">in the same category of employee and have the same category of coverage. </w:t>
      </w:r>
    </w:p>
    <w:p w:rsidR="004B0944" w:rsidRDefault="004B0944" w:rsidP="00556B98">
      <w:pPr>
        <w:pStyle w:val="PA"/>
      </w:pPr>
    </w:p>
    <w:p w:rsidR="004B0944" w:rsidRDefault="00667467" w:rsidP="00556B98">
      <w:pPr>
        <w:pStyle w:val="PA"/>
      </w:pPr>
      <w:r w:rsidRPr="00556B98">
        <w:t>Category of employee refers to full-time employees, part-time employees, and former employe</w:t>
      </w:r>
      <w:r w:rsidR="00407CA9" w:rsidRPr="00556B98">
        <w:t>e</w:t>
      </w:r>
      <w:r w:rsidRPr="00556B98">
        <w:t>s.</w:t>
      </w:r>
      <w:r w:rsidRPr="005B5A36">
        <w:rPr>
          <w:vertAlign w:val="superscript"/>
        </w:rPr>
        <w:footnoteReference w:id="4"/>
      </w:r>
      <w:r w:rsidRPr="00556B98">
        <w:t xml:space="preserve"> </w:t>
      </w:r>
    </w:p>
    <w:p w:rsidR="004B0944" w:rsidRDefault="004B0944" w:rsidP="00556B98">
      <w:pPr>
        <w:pStyle w:val="PA"/>
      </w:pPr>
    </w:p>
    <w:p w:rsidR="004B0944" w:rsidRDefault="00667467" w:rsidP="00556B98">
      <w:pPr>
        <w:pStyle w:val="PA"/>
      </w:pPr>
      <w:r w:rsidRPr="00556B98">
        <w:t>Category of coverage refers to self-only and family-type coverage. Family coverage may be subcategorized as self plus one</w:t>
      </w:r>
      <w:r w:rsidR="00E7069E">
        <w:t>,</w:t>
      </w:r>
      <w:r w:rsidRPr="00556B98">
        <w:t xml:space="preserve"> self plus two</w:t>
      </w:r>
      <w:r w:rsidR="00E7069E">
        <w:t>,</w:t>
      </w:r>
      <w:r w:rsidR="00A571F8" w:rsidRPr="00556B98">
        <w:t xml:space="preserve"> </w:t>
      </w:r>
      <w:r w:rsidRPr="00556B98">
        <w:t>and self plus three or more. Subcategories of family coverage may be tested separately, but under no circumstances may an employer contribute less to a category of family coverage with more covered persons.</w:t>
      </w:r>
      <w:r w:rsidRPr="005B5A36">
        <w:rPr>
          <w:vertAlign w:val="superscript"/>
        </w:rPr>
        <w:footnoteReference w:id="5"/>
      </w:r>
    </w:p>
    <w:p w:rsidR="004B0944" w:rsidRDefault="004B0944" w:rsidP="00556B98">
      <w:pPr>
        <w:pStyle w:val="PA"/>
      </w:pPr>
    </w:p>
    <w:p w:rsidR="004B0944" w:rsidRDefault="00667467" w:rsidP="00556B98">
      <w:pPr>
        <w:pStyle w:val="PA"/>
      </w:pPr>
      <w:r w:rsidRPr="00556B98">
        <w:t>For years beginning after 2006, highly compensated employees are not treated as comparable participating employees to non-highly compensated employees.</w:t>
      </w:r>
      <w:r w:rsidRPr="005B5A36">
        <w:rPr>
          <w:vertAlign w:val="superscript"/>
        </w:rPr>
        <w:footnoteReference w:id="6"/>
      </w:r>
      <w:r w:rsidRPr="00556B98">
        <w:t xml:space="preserve"> </w:t>
      </w:r>
    </w:p>
    <w:p w:rsidR="0021419A" w:rsidRPr="00176B6C" w:rsidRDefault="006A2E82" w:rsidP="00167C13">
      <w:pPr>
        <w:pStyle w:val="PA"/>
        <w:ind w:firstLine="0"/>
        <w:rPr>
          <w:sz w:val="22"/>
          <w:szCs w:val="22"/>
        </w:rPr>
      </w:pPr>
      <w:r w:rsidRPr="00DE7CEB">
        <w:rPr>
          <w:b/>
        </w:rPr>
        <w:lastRenderedPageBreak/>
        <w:t>Planning Point</w:t>
      </w:r>
      <w:r w:rsidR="00167C13">
        <w:t xml:space="preserve">: </w:t>
      </w:r>
      <w:r w:rsidR="00607879" w:rsidRPr="00176B6C">
        <w:rPr>
          <w:sz w:val="22"/>
          <w:szCs w:val="22"/>
        </w:rPr>
        <w:t>Employers often want to categorize employees</w:t>
      </w:r>
      <w:r w:rsidR="002B3875" w:rsidRPr="00176B6C">
        <w:rPr>
          <w:sz w:val="22"/>
          <w:szCs w:val="22"/>
        </w:rPr>
        <w:t xml:space="preserve"> in arrangements </w:t>
      </w:r>
      <w:r w:rsidR="00FD4891" w:rsidRPr="00176B6C">
        <w:rPr>
          <w:sz w:val="22"/>
          <w:szCs w:val="22"/>
        </w:rPr>
        <w:t xml:space="preserve">other than discussed above and </w:t>
      </w:r>
      <w:r w:rsidR="002B3875" w:rsidRPr="00176B6C">
        <w:rPr>
          <w:sz w:val="22"/>
          <w:szCs w:val="22"/>
        </w:rPr>
        <w:t xml:space="preserve">not allowed by the law. Employers may desire to use existing </w:t>
      </w:r>
      <w:r w:rsidR="00607879" w:rsidRPr="00176B6C">
        <w:rPr>
          <w:sz w:val="22"/>
          <w:szCs w:val="22"/>
        </w:rPr>
        <w:t>organizational structure</w:t>
      </w:r>
      <w:r w:rsidR="002B3875" w:rsidRPr="00176B6C">
        <w:rPr>
          <w:sz w:val="22"/>
          <w:szCs w:val="22"/>
        </w:rPr>
        <w:t xml:space="preserve"> and separate employees that work in different locations</w:t>
      </w:r>
      <w:r w:rsidR="0021419A" w:rsidRPr="00176B6C">
        <w:rPr>
          <w:sz w:val="22"/>
          <w:szCs w:val="22"/>
        </w:rPr>
        <w:t xml:space="preserve">, different divisions, </w:t>
      </w:r>
      <w:r w:rsidR="002B3875" w:rsidRPr="00176B6C">
        <w:rPr>
          <w:sz w:val="22"/>
          <w:szCs w:val="22"/>
        </w:rPr>
        <w:t>or have different job descriptions. Employers may desire to reward tenure by categorizing employees based on length of service. Generous employers may want to make the additional $1,000 catch-up contribution f</w:t>
      </w:r>
      <w:r w:rsidR="00080FBC" w:rsidRPr="00176B6C">
        <w:rPr>
          <w:sz w:val="22"/>
          <w:szCs w:val="22"/>
        </w:rPr>
        <w:t>or</w:t>
      </w:r>
      <w:r w:rsidR="002B3875" w:rsidRPr="00176B6C">
        <w:rPr>
          <w:sz w:val="22"/>
          <w:szCs w:val="22"/>
        </w:rPr>
        <w:t xml:space="preserve"> employees over the age 55. Advising employers </w:t>
      </w:r>
      <w:r w:rsidR="00080FBC" w:rsidRPr="00176B6C">
        <w:rPr>
          <w:sz w:val="22"/>
          <w:szCs w:val="22"/>
        </w:rPr>
        <w:t>on this issue is simplified by the IRS’s regulation that states its list is the exclusive list of allowed categories.</w:t>
      </w:r>
      <w:r w:rsidR="00DE7CEB" w:rsidRPr="00176B6C">
        <w:rPr>
          <w:rStyle w:val="FootnoteReference"/>
          <w:sz w:val="22"/>
          <w:szCs w:val="22"/>
        </w:rPr>
        <w:footnoteReference w:id="7"/>
      </w:r>
      <w:r w:rsidR="00080FBC" w:rsidRPr="00176B6C">
        <w:rPr>
          <w:sz w:val="22"/>
          <w:szCs w:val="22"/>
        </w:rPr>
        <w:t xml:space="preserve"> None of the categories suggested </w:t>
      </w:r>
      <w:r w:rsidR="00E86420" w:rsidRPr="00176B6C">
        <w:rPr>
          <w:sz w:val="22"/>
          <w:szCs w:val="22"/>
        </w:rPr>
        <w:t xml:space="preserve">above </w:t>
      </w:r>
      <w:r w:rsidR="00080FBC" w:rsidRPr="00176B6C">
        <w:rPr>
          <w:sz w:val="22"/>
          <w:szCs w:val="22"/>
        </w:rPr>
        <w:t xml:space="preserve">are permitted categories. </w:t>
      </w:r>
    </w:p>
    <w:p w:rsidR="004B0944" w:rsidRDefault="0021419A" w:rsidP="00167C13">
      <w:pPr>
        <w:pStyle w:val="PA"/>
        <w:ind w:firstLine="0"/>
      </w:pPr>
      <w:r w:rsidRPr="00176B6C">
        <w:rPr>
          <w:sz w:val="22"/>
          <w:szCs w:val="22"/>
        </w:rPr>
        <w:t>Although not technically categories of employees under the IRS regulations</w:t>
      </w:r>
      <w:r w:rsidR="00E86420" w:rsidRPr="00176B6C">
        <w:rPr>
          <w:sz w:val="22"/>
          <w:szCs w:val="22"/>
        </w:rPr>
        <w:t>,</w:t>
      </w:r>
      <w:r w:rsidRPr="00176B6C">
        <w:rPr>
          <w:sz w:val="22"/>
          <w:szCs w:val="22"/>
        </w:rPr>
        <w:t xml:space="preserve"> there are a </w:t>
      </w:r>
      <w:r w:rsidR="008B0DD2" w:rsidRPr="00176B6C">
        <w:rPr>
          <w:sz w:val="22"/>
          <w:szCs w:val="22"/>
        </w:rPr>
        <w:t xml:space="preserve">number of other exceptions </w:t>
      </w:r>
      <w:r w:rsidRPr="00176B6C">
        <w:rPr>
          <w:sz w:val="22"/>
          <w:szCs w:val="22"/>
        </w:rPr>
        <w:t>that may prove helpful for employers. Employees that are members of a union are not considered comparable employees provided that health benefits were the subject of good faith bargaining between the union and the employer.</w:t>
      </w:r>
      <w:r w:rsidR="00DE7CEB" w:rsidRPr="00176B6C">
        <w:rPr>
          <w:rStyle w:val="FootnoteReference"/>
          <w:sz w:val="22"/>
          <w:szCs w:val="22"/>
        </w:rPr>
        <w:footnoteReference w:id="8"/>
      </w:r>
      <w:r w:rsidRPr="00176B6C">
        <w:rPr>
          <w:sz w:val="22"/>
          <w:szCs w:val="22"/>
        </w:rPr>
        <w:t xml:space="preserve"> Employees that are not eligible for an HSA are not comparable employees.</w:t>
      </w:r>
      <w:r w:rsidR="00DE7CEB" w:rsidRPr="00176B6C">
        <w:rPr>
          <w:rStyle w:val="FootnoteReference"/>
          <w:sz w:val="22"/>
          <w:szCs w:val="22"/>
        </w:rPr>
        <w:footnoteReference w:id="9"/>
      </w:r>
      <w:r w:rsidRPr="00176B6C">
        <w:rPr>
          <w:sz w:val="22"/>
          <w:szCs w:val="22"/>
        </w:rPr>
        <w:t xml:space="preserve"> Employers can limit comparable HSA contributions to employees that receive their HDHP coverage through the employer</w:t>
      </w:r>
      <w:r w:rsidR="00176B6C" w:rsidRPr="00176B6C">
        <w:rPr>
          <w:rStyle w:val="FootnoteReference"/>
          <w:sz w:val="22"/>
          <w:szCs w:val="22"/>
        </w:rPr>
        <w:footnoteReference w:id="10"/>
      </w:r>
      <w:r w:rsidR="004A5FA9" w:rsidRPr="00176B6C">
        <w:rPr>
          <w:sz w:val="22"/>
          <w:szCs w:val="22"/>
        </w:rPr>
        <w:t>Employers may also elect to make the HSA contribution to employees that are HSA eligible but obtained HDHP coverage outside of the employer provided the employer treats similar employees comparabl</w:t>
      </w:r>
      <w:r w:rsidR="00E86420" w:rsidRPr="00176B6C">
        <w:rPr>
          <w:sz w:val="22"/>
          <w:szCs w:val="22"/>
        </w:rPr>
        <w:t>y</w:t>
      </w:r>
      <w:r w:rsidR="004A5FA9" w:rsidRPr="00176B6C">
        <w:rPr>
          <w:sz w:val="22"/>
          <w:szCs w:val="22"/>
        </w:rPr>
        <w:t xml:space="preserve">. </w:t>
      </w:r>
      <w:r w:rsidR="008B0DD2" w:rsidRPr="00176B6C">
        <w:rPr>
          <w:sz w:val="22"/>
          <w:szCs w:val="22"/>
        </w:rPr>
        <w:t>HSA contributions to sole proprietors, more than 2% owners of an S-Corporation and partners in a partnership are generally not treated as comparable HSA contributions.</w:t>
      </w:r>
      <w:r w:rsidR="008B0DD2" w:rsidRPr="00176B6C">
        <w:rPr>
          <w:rStyle w:val="EndnoteReference"/>
          <w:sz w:val="22"/>
          <w:szCs w:val="22"/>
        </w:rPr>
        <w:endnoteReference w:id="1"/>
      </w:r>
      <w:r w:rsidR="008B0DD2" w:rsidRPr="00176B6C">
        <w:rPr>
          <w:sz w:val="22"/>
          <w:szCs w:val="22"/>
        </w:rPr>
        <w:t xml:space="preserve"> </w:t>
      </w:r>
      <w:r w:rsidRPr="00176B6C">
        <w:rPr>
          <w:sz w:val="22"/>
          <w:szCs w:val="22"/>
        </w:rPr>
        <w:t xml:space="preserve">   </w:t>
      </w:r>
    </w:p>
    <w:p w:rsidR="004B0944" w:rsidRDefault="00667467" w:rsidP="00556B98">
      <w:pPr>
        <w:pStyle w:val="PA"/>
      </w:pPr>
      <w:r w:rsidRPr="00556B98">
        <w:t>Employer contributions made to HSAs through a cafeteria plan, including matching contributions, are not subject to comparability rules but are subject to IRC Section 125 nondiscrimination rules (</w:t>
      </w:r>
      <w:hyperlink r:id="rId9" w:history="1">
        <w:r w:rsidR="00CC3937">
          <w:rPr>
            <w:rStyle w:val="Hyperlink"/>
          </w:rPr>
          <w:t>Q 3504</w:t>
        </w:r>
      </w:hyperlink>
      <w:r w:rsidRPr="00556B98">
        <w:t>).</w:t>
      </w:r>
      <w:r w:rsidRPr="005B5A36">
        <w:rPr>
          <w:vertAlign w:val="superscript"/>
        </w:rPr>
        <w:footnoteReference w:id="11"/>
      </w:r>
    </w:p>
    <w:p w:rsidR="004B0944" w:rsidRDefault="004B0944" w:rsidP="00556B98">
      <w:pPr>
        <w:pStyle w:val="PA"/>
      </w:pPr>
    </w:p>
    <w:p w:rsidR="004B0944" w:rsidRDefault="00667467" w:rsidP="00556B98">
      <w:pPr>
        <w:pStyle w:val="PA"/>
      </w:pPr>
      <w:r w:rsidRPr="00556B98">
        <w:t xml:space="preserve">An employer may make contributions to </w:t>
      </w:r>
      <w:r w:rsidR="0052785E">
        <w:t xml:space="preserve">the </w:t>
      </w:r>
      <w:r w:rsidRPr="00556B98">
        <w:t xml:space="preserve">HSAs of all eligible employees at the beginning of </w:t>
      </w:r>
      <w:r w:rsidR="00E7069E">
        <w:t>a</w:t>
      </w:r>
      <w:r w:rsidRPr="00556B98">
        <w:t xml:space="preserve"> calendar year; it may contribute monthly on a pay-as-you-go basis; or it may contribute at the end of </w:t>
      </w:r>
      <w:r w:rsidR="00E7069E">
        <w:t>a</w:t>
      </w:r>
      <w:r w:rsidRPr="00556B98">
        <w:t xml:space="preserve"> calendar year, taking into account each month that an employee was a comparable participating employee. An employer must use the same contribution method for all comparable participating employees.</w:t>
      </w:r>
      <w:r w:rsidRPr="005B5A36">
        <w:rPr>
          <w:vertAlign w:val="superscript"/>
        </w:rPr>
        <w:footnoteReference w:id="12"/>
      </w:r>
      <w:r w:rsidRPr="00556B98">
        <w:t xml:space="preserve"> </w:t>
      </w:r>
    </w:p>
    <w:p w:rsidR="004B0944" w:rsidRDefault="004B0944" w:rsidP="00556B98">
      <w:pPr>
        <w:pStyle w:val="PA"/>
      </w:pPr>
    </w:p>
    <w:p w:rsidR="004B0944" w:rsidRDefault="00667467" w:rsidP="00556B98">
      <w:pPr>
        <w:pStyle w:val="PA"/>
      </w:pPr>
      <w:r w:rsidRPr="00556B98">
        <w:t xml:space="preserve">If an employer does not prefund HSA contributions, regulations provide that it may accelerate all or part of its contributions for an entire year to HSAs of employees who incur, during the calendar year, qualified medical expenses exceeding the employer’s cumulative HSA contributions to date. If an employer permits accelerated contributions, the accelerated contributions must be </w:t>
      </w:r>
      <w:r w:rsidRPr="00556B98">
        <w:lastRenderedPageBreak/>
        <w:t>available on a uniform basis to all eligible employees under reasonable requirements.</w:t>
      </w:r>
      <w:r w:rsidRPr="005B5A36">
        <w:rPr>
          <w:vertAlign w:val="superscript"/>
        </w:rPr>
        <w:footnoteReference w:id="13"/>
      </w:r>
    </w:p>
    <w:p w:rsidR="004B0944" w:rsidRDefault="004B0944" w:rsidP="00556B98">
      <w:pPr>
        <w:pStyle w:val="PA"/>
      </w:pPr>
    </w:p>
    <w:p w:rsidR="004B0944" w:rsidRDefault="00667467" w:rsidP="00556B98">
      <w:pPr>
        <w:pStyle w:val="PA"/>
      </w:pPr>
      <w:r w:rsidRPr="00556B98">
        <w:t xml:space="preserve">To deal with employees who may not have established an HSA at the time an employer makes contributions, regulations require employers to provide to each eligible employee by January 15 a written notice that if the employee, by the last day of February, both establishes an HSA and notifies the employer that he </w:t>
      </w:r>
      <w:r w:rsidR="00E7069E">
        <w:t xml:space="preserve">or she </w:t>
      </w:r>
      <w:r w:rsidRPr="00556B98">
        <w:t>has done so, the employee will receive a comparable contribution to the HSA for the prior calendar year. The written notice may be delivered electronically. For each eligible employee that notif</w:t>
      </w:r>
      <w:r w:rsidR="009F36F4">
        <w:t>ies</w:t>
      </w:r>
      <w:r w:rsidRPr="00556B98">
        <w:t xml:space="preserve"> </w:t>
      </w:r>
      <w:r w:rsidR="009F36F4">
        <w:t>an</w:t>
      </w:r>
      <w:r w:rsidRPr="00556B98">
        <w:t xml:space="preserve"> employer that he </w:t>
      </w:r>
      <w:r w:rsidR="009F36F4">
        <w:t xml:space="preserve">or she </w:t>
      </w:r>
      <w:r w:rsidRPr="00556B98">
        <w:t>has established an HSA, the employer must, by April 15, make comparable contributions</w:t>
      </w:r>
      <w:r w:rsidR="009F36F4">
        <w:t>,</w:t>
      </w:r>
      <w:r w:rsidRPr="00556B98">
        <w:t xml:space="preserve"> taking into account each month that </w:t>
      </w:r>
      <w:r w:rsidR="009F36F4">
        <w:t>an</w:t>
      </w:r>
      <w:r w:rsidRPr="00556B98">
        <w:t xml:space="preserve"> employee was a comparable participating employee</w:t>
      </w:r>
      <w:r w:rsidR="009F36F4">
        <w:t>,</w:t>
      </w:r>
      <w:r w:rsidRPr="00556B98">
        <w:t xml:space="preserve"> plus reasonable interest.</w:t>
      </w:r>
      <w:r w:rsidRPr="005B5A36">
        <w:rPr>
          <w:vertAlign w:val="superscript"/>
        </w:rPr>
        <w:footnoteReference w:id="14"/>
      </w:r>
    </w:p>
    <w:p w:rsidR="004B0944" w:rsidRDefault="004B0944" w:rsidP="00556B98">
      <w:pPr>
        <w:pStyle w:val="PA"/>
      </w:pPr>
    </w:p>
    <w:p w:rsidR="004B0944" w:rsidRDefault="009F36F4" w:rsidP="00556B98">
      <w:pPr>
        <w:pStyle w:val="PA"/>
      </w:pPr>
      <w:r>
        <w:rPr>
          <w:iCs/>
        </w:rPr>
        <w:t>There is a m</w:t>
      </w:r>
      <w:r w:rsidR="00667467" w:rsidRPr="00556B98">
        <w:rPr>
          <w:iCs/>
        </w:rPr>
        <w:t>aximum contribution permitted for all employees who are eligible individuals during the last month of the taxable year</w:t>
      </w:r>
      <w:r w:rsidR="00667467" w:rsidRPr="00556B98">
        <w:t xml:space="preserve">. An employer may contribute up to the maximum annual contribution amount for the calendar year based on the employees’ </w:t>
      </w:r>
      <w:r>
        <w:t>HDHP</w:t>
      </w:r>
      <w:r w:rsidR="00667467" w:rsidRPr="00556B98">
        <w:t xml:space="preserve"> coverage to HSAs of all employees who are eligible individuals on the first day of the last month of the employees’ taxable year, including employees who worked for the employer for less than the entire calendar year and employees who became eligible individuals after January 1</w:t>
      </w:r>
      <w:r>
        <w:t xml:space="preserve"> </w:t>
      </w:r>
      <w:r w:rsidR="00667467" w:rsidRPr="00556B98">
        <w:t>of the calendar year. For example, contribution</w:t>
      </w:r>
      <w:r>
        <w:t>s</w:t>
      </w:r>
      <w:r w:rsidR="00667467" w:rsidRPr="00556B98">
        <w:t xml:space="preserve"> may be made on behalf of an eligible individual who is hired after January 1 or an employee who becomes an eligible individual after January </w:t>
      </w:r>
      <w:r>
        <w:t>1</w:t>
      </w:r>
      <w:r w:rsidR="00667467" w:rsidRPr="00556B98">
        <w:t>.</w:t>
      </w:r>
      <w:r w:rsidR="00667467" w:rsidRPr="005B5A36">
        <w:rPr>
          <w:vertAlign w:val="superscript"/>
        </w:rPr>
        <w:footnoteReference w:id="15"/>
      </w:r>
    </w:p>
    <w:p w:rsidR="004B0944" w:rsidRDefault="004B0944" w:rsidP="00556B98">
      <w:pPr>
        <w:pStyle w:val="PA"/>
      </w:pPr>
    </w:p>
    <w:p w:rsidR="004B0944" w:rsidRDefault="00667467" w:rsidP="00556B98">
      <w:pPr>
        <w:pStyle w:val="PA"/>
      </w:pPr>
      <w:r w:rsidRPr="00556B98">
        <w:t xml:space="preserve">Employers are not required to provide more than a pro rata contribution based on the number of months that an individual was an eligible individual and employed by the employer during the year. </w:t>
      </w:r>
      <w:r w:rsidR="009F36F4">
        <w:t>I</w:t>
      </w:r>
      <w:r w:rsidRPr="00556B98">
        <w:t xml:space="preserve">f an employer contributes more than a pro rata amount for </w:t>
      </w:r>
      <w:r w:rsidR="009F36F4">
        <w:t>a</w:t>
      </w:r>
      <w:r w:rsidRPr="00556B98">
        <w:t xml:space="preserve"> calendar year to </w:t>
      </w:r>
      <w:r w:rsidR="009F36F4">
        <w:t>an</w:t>
      </w:r>
      <w:r w:rsidRPr="00556B98">
        <w:t xml:space="preserve"> HSA of any eligible individual who is hired after January 1 of the calendar year, or any employee who becomes an eligible individual any time after January 1 of the calendar year, the employer must contribute that same amount on an equal and uniform basis to HSAs of all comparable participating employees who are hired or become eligible individuals after January 1 of the calendar year.</w:t>
      </w:r>
      <w:r w:rsidRPr="005B5A36">
        <w:rPr>
          <w:vertAlign w:val="superscript"/>
        </w:rPr>
        <w:footnoteReference w:id="16"/>
      </w:r>
    </w:p>
    <w:p w:rsidR="004B0944" w:rsidRDefault="004B0944" w:rsidP="00556B98">
      <w:pPr>
        <w:pStyle w:val="PA"/>
      </w:pPr>
    </w:p>
    <w:p w:rsidR="004B0944" w:rsidRDefault="00667467" w:rsidP="00556B98">
      <w:pPr>
        <w:pStyle w:val="PA"/>
      </w:pPr>
      <w:r w:rsidRPr="00556B98">
        <w:t xml:space="preserve">Likewise, if an employer contributes the maximum annual contribution amount for the calendar year to </w:t>
      </w:r>
      <w:r w:rsidR="009F36F4">
        <w:t>an</w:t>
      </w:r>
      <w:r w:rsidRPr="00556B98">
        <w:t xml:space="preserve"> HSA of any eligible individual who is hired after January 1 of the calendar year or any employee who becomes an eligible individual any time after January 1 of the calendar year, the employer also </w:t>
      </w:r>
      <w:r w:rsidR="009F36F4">
        <w:t xml:space="preserve">must </w:t>
      </w:r>
      <w:r w:rsidRPr="00556B98">
        <w:t>contribute the maximum annual contribution amount on an equal and uniform basis to HSAs of all comparable participating employees who are hired or become eligible individuals after January 1 of the calendar year.</w:t>
      </w:r>
      <w:r w:rsidRPr="005B5A36">
        <w:rPr>
          <w:vertAlign w:val="superscript"/>
        </w:rPr>
        <w:footnoteReference w:id="17"/>
      </w:r>
      <w:r w:rsidRPr="00556B98">
        <w:t xml:space="preserve"> </w:t>
      </w:r>
    </w:p>
    <w:p w:rsidR="004B0944" w:rsidRDefault="004B0944" w:rsidP="00556B98">
      <w:pPr>
        <w:pStyle w:val="PA"/>
      </w:pPr>
    </w:p>
    <w:p w:rsidR="004B0944" w:rsidRDefault="00667467" w:rsidP="00556B98">
      <w:pPr>
        <w:pStyle w:val="PA"/>
      </w:pPr>
      <w:r w:rsidRPr="00556B98">
        <w:t>An employer who makes the maximum calendar year contribution or more than a pro</w:t>
      </w:r>
      <w:r w:rsidR="00EB06E0">
        <w:t xml:space="preserve"> </w:t>
      </w:r>
      <w:r w:rsidRPr="00556B98">
        <w:t xml:space="preserve">rata contribution to HSAs of employees who become eligible individuals after the first day of the calendar year or </w:t>
      </w:r>
      <w:r w:rsidR="009F36F4">
        <w:t xml:space="preserve">to </w:t>
      </w:r>
      <w:r w:rsidRPr="00556B98">
        <w:t>eligible individuals who are hired after the first day of the calendar year will not fail to satisfy comparability merely because some employees will have received more contributions on a monthly basis than employees who worked the entire calendar year.</w:t>
      </w:r>
      <w:r w:rsidRPr="005B5A36">
        <w:rPr>
          <w:vertAlign w:val="superscript"/>
        </w:rPr>
        <w:footnoteReference w:id="18"/>
      </w:r>
    </w:p>
    <w:p w:rsidR="004B0944" w:rsidRDefault="004B0944" w:rsidP="00556B98">
      <w:pPr>
        <w:pStyle w:val="PA"/>
      </w:pPr>
    </w:p>
    <w:sectPr w:rsidR="004B0944" w:rsidSect="00344FA6">
      <w:footnotePr>
        <w:numRestart w:val="eachPage"/>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77" w:rsidRDefault="00964377">
      <w:r>
        <w:separator/>
      </w:r>
    </w:p>
  </w:endnote>
  <w:endnote w:type="continuationSeparator" w:id="0">
    <w:p w:rsidR="00964377" w:rsidRDefault="00964377">
      <w:r>
        <w:continuationSeparator/>
      </w:r>
    </w:p>
  </w:endnote>
  <w:endnote w:id="1">
    <w:p w:rsidR="008B0DD2" w:rsidRDefault="008B0DD2">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Tw Cen MT">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Std">
    <w:altName w:val="Cambria"/>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77" w:rsidRDefault="00964377">
      <w:r>
        <w:separator/>
      </w:r>
    </w:p>
  </w:footnote>
  <w:footnote w:type="continuationSeparator" w:id="0">
    <w:p w:rsidR="00964377" w:rsidRDefault="00964377">
      <w:r>
        <w:continuationSeparator/>
      </w:r>
    </w:p>
  </w:footnote>
  <w:footnote w:id="1">
    <w:p w:rsidR="00000DF0" w:rsidRPr="00556B98" w:rsidRDefault="00000DF0" w:rsidP="005B5A36">
      <w:pPr>
        <w:pStyle w:val="PQ"/>
      </w:pPr>
      <w:r w:rsidRPr="00556B98">
        <w:footnoteRef/>
      </w:r>
      <w:r w:rsidR="005B5A36">
        <w:t>.</w:t>
      </w:r>
      <w:r w:rsidR="005B5A36">
        <w:tab/>
      </w:r>
      <w:r w:rsidR="005B5A36" w:rsidRPr="00556B98">
        <w:t xml:space="preserve">IRC </w:t>
      </w:r>
      <w:proofErr w:type="spellStart"/>
      <w:r w:rsidR="005B5A36" w:rsidRPr="00556B98">
        <w:t>Secs</w:t>
      </w:r>
      <w:proofErr w:type="spellEnd"/>
      <w:r w:rsidR="005B5A36" w:rsidRPr="00556B98">
        <w:t>. 4980E, 4980G.</w:t>
      </w:r>
      <w:bookmarkStart w:id="0" w:name="_GoBack"/>
      <w:bookmarkEnd w:id="0"/>
    </w:p>
  </w:footnote>
  <w:footnote w:id="2">
    <w:p w:rsidR="00000DF0" w:rsidRPr="00556B98" w:rsidRDefault="00000DF0" w:rsidP="005B5A36">
      <w:pPr>
        <w:pStyle w:val="PQ"/>
      </w:pPr>
      <w:r w:rsidRPr="00556B98">
        <w:footnoteRef/>
      </w:r>
      <w:r w:rsidR="005B5A36">
        <w:t>.</w:t>
      </w:r>
      <w:r w:rsidR="005B5A36">
        <w:tab/>
      </w:r>
      <w:r w:rsidR="005B5A36" w:rsidRPr="00556B98">
        <w:t>Treas. Reg. § 54.4980G-1, A-1.</w:t>
      </w:r>
    </w:p>
  </w:footnote>
  <w:footnote w:id="3">
    <w:p w:rsidR="00000DF0" w:rsidRPr="00556B98" w:rsidRDefault="00000DF0" w:rsidP="005B5A36">
      <w:pPr>
        <w:pStyle w:val="PQ"/>
      </w:pPr>
      <w:r w:rsidRPr="00556B98">
        <w:footnoteRef/>
      </w:r>
      <w:r w:rsidR="005B5A36">
        <w:t>.</w:t>
      </w:r>
      <w:r w:rsidR="005B5A36">
        <w:tab/>
      </w:r>
      <w:r w:rsidR="005B5A36" w:rsidRPr="00556B98">
        <w:t xml:space="preserve">IRC Sec. </w:t>
      </w:r>
      <w:proofErr w:type="gramStart"/>
      <w:r w:rsidR="005B5A36" w:rsidRPr="00556B98">
        <w:t>4980E(</w:t>
      </w:r>
      <w:proofErr w:type="gramEnd"/>
      <w:r w:rsidR="005B5A36" w:rsidRPr="00556B98">
        <w:t>d)(2); Treas. Reg. § 54.4980G-4, A-1.</w:t>
      </w:r>
    </w:p>
  </w:footnote>
  <w:footnote w:id="4">
    <w:p w:rsidR="00000DF0" w:rsidRPr="00556B98" w:rsidRDefault="00000DF0" w:rsidP="005B5A36">
      <w:pPr>
        <w:pStyle w:val="PQ"/>
      </w:pPr>
      <w:r w:rsidRPr="00556B98">
        <w:footnoteRef/>
      </w:r>
      <w:r w:rsidR="005B5A36">
        <w:t>.</w:t>
      </w:r>
      <w:r w:rsidR="005B5A36">
        <w:tab/>
      </w:r>
      <w:r w:rsidR="005B5A36" w:rsidRPr="00556B98">
        <w:t>Treas. Reg. § 54.4980G-3, A-5.</w:t>
      </w:r>
    </w:p>
  </w:footnote>
  <w:footnote w:id="5">
    <w:p w:rsidR="00000DF0" w:rsidRPr="00556B98" w:rsidRDefault="00000DF0" w:rsidP="005B5A36">
      <w:pPr>
        <w:pStyle w:val="PQ"/>
      </w:pPr>
      <w:r w:rsidRPr="00556B98">
        <w:footnoteRef/>
      </w:r>
      <w:r w:rsidR="005B5A36">
        <w:t>.</w:t>
      </w:r>
      <w:r w:rsidR="005B5A36">
        <w:tab/>
      </w:r>
      <w:r w:rsidR="005B5A36" w:rsidRPr="00556B98">
        <w:t xml:space="preserve">IRC Sec. </w:t>
      </w:r>
      <w:proofErr w:type="gramStart"/>
      <w:r w:rsidR="005B5A36" w:rsidRPr="00556B98">
        <w:t>4980E(</w:t>
      </w:r>
      <w:proofErr w:type="gramEnd"/>
      <w:r w:rsidR="005B5A36" w:rsidRPr="00556B98">
        <w:t>d)(3); Treas. Reg. §§ 54.4980G-1, A-2, 54.4980G-4, A-1.</w:t>
      </w:r>
    </w:p>
  </w:footnote>
  <w:footnote w:id="6">
    <w:p w:rsidR="00000DF0" w:rsidRPr="00556B98" w:rsidRDefault="00000DF0" w:rsidP="005B5A36">
      <w:pPr>
        <w:pStyle w:val="PQ"/>
      </w:pPr>
      <w:r w:rsidRPr="00556B98">
        <w:footnoteRef/>
      </w:r>
      <w:r w:rsidR="005B5A36">
        <w:t>.</w:t>
      </w:r>
      <w:r w:rsidR="005B5A36">
        <w:tab/>
      </w:r>
      <w:r w:rsidR="005B5A36" w:rsidRPr="00556B98">
        <w:t xml:space="preserve">IRC Sec. </w:t>
      </w:r>
      <w:proofErr w:type="gramStart"/>
      <w:r w:rsidR="005B5A36" w:rsidRPr="00556B98">
        <w:t>4980G(</w:t>
      </w:r>
      <w:proofErr w:type="gramEnd"/>
      <w:r w:rsidR="005B5A36" w:rsidRPr="00556B98">
        <w:t>d), as added by TRHCA 2006.</w:t>
      </w:r>
    </w:p>
  </w:footnote>
  <w:footnote w:id="7">
    <w:p w:rsidR="00DE7CEB" w:rsidRDefault="00DE7CEB">
      <w:pPr>
        <w:pStyle w:val="FootnoteText"/>
      </w:pPr>
      <w:r>
        <w:rPr>
          <w:rStyle w:val="FootnoteReference"/>
        </w:rPr>
        <w:footnoteRef/>
      </w:r>
      <w:r>
        <w:t xml:space="preserve">      </w:t>
      </w:r>
      <w:r w:rsidRPr="00DE7CEB">
        <w:rPr>
          <w:rFonts w:ascii="Perpetua" w:hAnsi="Perpetua"/>
        </w:rPr>
        <w:t xml:space="preserve">Treas. Reg. § 54.4980G-3, </w:t>
      </w:r>
      <w:r>
        <w:t>A</w:t>
      </w:r>
      <w:r w:rsidRPr="00DE7CEB">
        <w:rPr>
          <w:rFonts w:ascii="Perpetua" w:hAnsi="Perpetua"/>
        </w:rPr>
        <w:t>6</w:t>
      </w:r>
    </w:p>
  </w:footnote>
  <w:footnote w:id="8">
    <w:p w:rsidR="00DE7CEB" w:rsidRDefault="00DE7CEB">
      <w:pPr>
        <w:pStyle w:val="FootnoteText"/>
      </w:pPr>
      <w:r>
        <w:rPr>
          <w:rStyle w:val="FootnoteReference"/>
        </w:rPr>
        <w:footnoteRef/>
      </w:r>
      <w:r>
        <w:t xml:space="preserve">      </w:t>
      </w:r>
      <w:r>
        <w:t>Treas. Reg. § 54.4980G-4, A1</w:t>
      </w:r>
    </w:p>
  </w:footnote>
  <w:footnote w:id="9">
    <w:p w:rsidR="00DE7CEB" w:rsidRDefault="00DE7CEB">
      <w:pPr>
        <w:pStyle w:val="FootnoteText"/>
      </w:pPr>
      <w:r>
        <w:rPr>
          <w:rStyle w:val="FootnoteReference"/>
        </w:rPr>
        <w:footnoteRef/>
      </w:r>
      <w:r>
        <w:t xml:space="preserve">      </w:t>
      </w:r>
      <w:proofErr w:type="gramStart"/>
      <w:r w:rsidRPr="00DE7CEB">
        <w:rPr>
          <w:rFonts w:ascii="Perpetua" w:hAnsi="Perpetua"/>
        </w:rPr>
        <w:t>Treas. Reg. § 54.4980G-3, A7.</w:t>
      </w:r>
      <w:proofErr w:type="gramEnd"/>
    </w:p>
  </w:footnote>
  <w:footnote w:id="10">
    <w:p w:rsidR="00176B6C" w:rsidRDefault="00176B6C">
      <w:pPr>
        <w:pStyle w:val="FootnoteText"/>
      </w:pPr>
      <w:r>
        <w:rPr>
          <w:rStyle w:val="FootnoteReference"/>
        </w:rPr>
        <w:footnoteRef/>
      </w:r>
      <w:r>
        <w:t xml:space="preserve">      </w:t>
      </w:r>
      <w:proofErr w:type="gramStart"/>
      <w:r>
        <w:t>IRS Notice 2004-50, A84; IRS Notice 2005-8.</w:t>
      </w:r>
      <w:proofErr w:type="gramEnd"/>
    </w:p>
  </w:footnote>
  <w:footnote w:id="11">
    <w:p w:rsidR="00000DF0" w:rsidRPr="00556B98" w:rsidRDefault="00000DF0" w:rsidP="005B5A36">
      <w:pPr>
        <w:pStyle w:val="PQ"/>
      </w:pPr>
      <w:r w:rsidRPr="00556B98">
        <w:footnoteRef/>
      </w:r>
      <w:r w:rsidR="005B5A36">
        <w:t>.</w:t>
      </w:r>
      <w:r w:rsidR="005B5A36">
        <w:tab/>
      </w:r>
      <w:r w:rsidR="005B5A36" w:rsidRPr="00556B98">
        <w:t>Notice 2004-50, 2004-2 CB 196, A-47; IRC Sec. 125 (b), (c), and (g); Treas. Reg. § 1.125-1, A-19.</w:t>
      </w:r>
    </w:p>
  </w:footnote>
  <w:footnote w:id="12">
    <w:p w:rsidR="00000DF0" w:rsidRPr="00556B98" w:rsidRDefault="00000DF0" w:rsidP="005B5A36">
      <w:pPr>
        <w:pStyle w:val="PQ"/>
      </w:pPr>
      <w:r w:rsidRPr="00556B98">
        <w:footnoteRef/>
      </w:r>
      <w:r w:rsidR="005B5A36">
        <w:t>.</w:t>
      </w:r>
      <w:r w:rsidR="005B5A36">
        <w:tab/>
      </w:r>
      <w:r w:rsidR="005B5A36" w:rsidRPr="00556B98">
        <w:t xml:space="preserve">IRC Sec. </w:t>
      </w:r>
      <w:proofErr w:type="gramStart"/>
      <w:r w:rsidR="005B5A36" w:rsidRPr="00556B98">
        <w:t>4980E(</w:t>
      </w:r>
      <w:proofErr w:type="gramEnd"/>
      <w:r w:rsidR="005B5A36" w:rsidRPr="00556B98">
        <w:t>d)(3); Treas. Reg. §§ 54.4980G-4, A-4.</w:t>
      </w:r>
    </w:p>
  </w:footnote>
  <w:footnote w:id="13">
    <w:p w:rsidR="00000DF0" w:rsidRPr="00556B98" w:rsidRDefault="00000DF0" w:rsidP="005B5A36">
      <w:pPr>
        <w:pStyle w:val="PQ"/>
      </w:pPr>
      <w:r w:rsidRPr="00556B98">
        <w:footnoteRef/>
      </w:r>
      <w:r w:rsidR="005B5A36">
        <w:t>.</w:t>
      </w:r>
      <w:r w:rsidR="005B5A36">
        <w:tab/>
      </w:r>
      <w:r w:rsidR="005B5A36" w:rsidRPr="00556B98">
        <w:t xml:space="preserve">IRC Sec. </w:t>
      </w:r>
      <w:proofErr w:type="gramStart"/>
      <w:r w:rsidR="005B5A36" w:rsidRPr="00556B98">
        <w:t>4980E(</w:t>
      </w:r>
      <w:proofErr w:type="gramEnd"/>
      <w:r w:rsidR="005B5A36" w:rsidRPr="00556B98">
        <w:t>d)(3); Treas. Reg. §§ 54.4980G-4, A-15.</w:t>
      </w:r>
    </w:p>
  </w:footnote>
  <w:footnote w:id="14">
    <w:p w:rsidR="00000DF0" w:rsidRPr="00556B98" w:rsidRDefault="00000DF0" w:rsidP="005B5A36">
      <w:pPr>
        <w:pStyle w:val="PQ"/>
      </w:pPr>
      <w:r w:rsidRPr="00556B98">
        <w:footnoteRef/>
      </w:r>
      <w:r w:rsidR="005B5A36">
        <w:t>.</w:t>
      </w:r>
      <w:r w:rsidR="005B5A36">
        <w:tab/>
      </w:r>
      <w:r w:rsidR="005B5A36" w:rsidRPr="00556B98">
        <w:t xml:space="preserve">IRC Sec. </w:t>
      </w:r>
      <w:proofErr w:type="gramStart"/>
      <w:r w:rsidR="005B5A36" w:rsidRPr="00556B98">
        <w:t>4980E(</w:t>
      </w:r>
      <w:proofErr w:type="gramEnd"/>
      <w:r w:rsidR="005B5A36" w:rsidRPr="00556B98">
        <w:t>d)(3); Treas. Reg. §§ 54.4980G-4, A-14.</w:t>
      </w:r>
    </w:p>
  </w:footnote>
  <w:footnote w:id="15">
    <w:p w:rsidR="00000DF0" w:rsidRPr="00556B98" w:rsidRDefault="00000DF0" w:rsidP="005B5A36">
      <w:pPr>
        <w:pStyle w:val="PQ"/>
      </w:pPr>
      <w:r w:rsidRPr="00556B98">
        <w:footnoteRef/>
      </w:r>
      <w:r w:rsidR="005B5A36">
        <w:t>.</w:t>
      </w:r>
      <w:r w:rsidR="005B5A36">
        <w:tab/>
      </w:r>
      <w:r w:rsidR="005B5A36" w:rsidRPr="00556B98">
        <w:t>Treas. Reg. §54.4980G-4.</w:t>
      </w:r>
    </w:p>
  </w:footnote>
  <w:footnote w:id="16">
    <w:p w:rsidR="00000DF0" w:rsidRPr="00556B98" w:rsidRDefault="00000DF0" w:rsidP="005B5A36">
      <w:pPr>
        <w:pStyle w:val="PQ"/>
      </w:pPr>
      <w:r w:rsidRPr="00556B98">
        <w:footnoteRef/>
      </w:r>
      <w:r w:rsidR="005B5A36">
        <w:t>.</w:t>
      </w:r>
      <w:r w:rsidR="005B5A36">
        <w:tab/>
      </w:r>
      <w:r w:rsidR="005B5A36" w:rsidRPr="00556B98">
        <w:t>Treas. Reg. §54.4980G-4.</w:t>
      </w:r>
    </w:p>
  </w:footnote>
  <w:footnote w:id="17">
    <w:p w:rsidR="00000DF0" w:rsidRPr="00556B98" w:rsidRDefault="00000DF0" w:rsidP="005B5A36">
      <w:pPr>
        <w:pStyle w:val="PQ"/>
      </w:pPr>
      <w:r w:rsidRPr="00556B98">
        <w:footnoteRef/>
      </w:r>
      <w:r w:rsidR="005B5A36">
        <w:t>.</w:t>
      </w:r>
      <w:r w:rsidR="005B5A36">
        <w:tab/>
      </w:r>
      <w:r w:rsidR="005B5A36" w:rsidRPr="00556B98">
        <w:t>Treas. Reg. §54.4980G-4.</w:t>
      </w:r>
    </w:p>
  </w:footnote>
  <w:footnote w:id="18">
    <w:p w:rsidR="00000DF0" w:rsidRPr="00556B98" w:rsidRDefault="00000DF0" w:rsidP="005B5A36">
      <w:pPr>
        <w:pStyle w:val="PQ"/>
      </w:pPr>
      <w:r w:rsidRPr="00556B98">
        <w:footnoteRef/>
      </w:r>
      <w:r w:rsidR="005B5A36">
        <w:t>.</w:t>
      </w:r>
      <w:r w:rsidR="005B5A36">
        <w:tab/>
      </w:r>
      <w:r w:rsidR="005B5A36" w:rsidRPr="00556B98">
        <w:t>Treas. Reg. §54.4980G-4.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A82AA8"/>
    <w:lvl w:ilvl="0">
      <w:start w:val="1"/>
      <w:numFmt w:val="decimal"/>
      <w:lvlText w:val="%1."/>
      <w:lvlJc w:val="left"/>
      <w:pPr>
        <w:tabs>
          <w:tab w:val="num" w:pos="1800"/>
        </w:tabs>
        <w:ind w:left="1800" w:hanging="360"/>
      </w:pPr>
    </w:lvl>
  </w:abstractNum>
  <w:abstractNum w:abstractNumId="1">
    <w:nsid w:val="FFFFFF7D"/>
    <w:multiLevelType w:val="singleLevel"/>
    <w:tmpl w:val="882CAAF4"/>
    <w:lvl w:ilvl="0">
      <w:start w:val="1"/>
      <w:numFmt w:val="decimal"/>
      <w:lvlText w:val="%1."/>
      <w:lvlJc w:val="left"/>
      <w:pPr>
        <w:tabs>
          <w:tab w:val="num" w:pos="1440"/>
        </w:tabs>
        <w:ind w:left="1440" w:hanging="360"/>
      </w:pPr>
    </w:lvl>
  </w:abstractNum>
  <w:abstractNum w:abstractNumId="2">
    <w:nsid w:val="FFFFFF7E"/>
    <w:multiLevelType w:val="singleLevel"/>
    <w:tmpl w:val="F8240A10"/>
    <w:lvl w:ilvl="0">
      <w:start w:val="1"/>
      <w:numFmt w:val="decimal"/>
      <w:lvlText w:val="%1."/>
      <w:lvlJc w:val="left"/>
      <w:pPr>
        <w:tabs>
          <w:tab w:val="num" w:pos="1080"/>
        </w:tabs>
        <w:ind w:left="1080" w:hanging="360"/>
      </w:pPr>
    </w:lvl>
  </w:abstractNum>
  <w:abstractNum w:abstractNumId="3">
    <w:nsid w:val="FFFFFF7F"/>
    <w:multiLevelType w:val="singleLevel"/>
    <w:tmpl w:val="7A30075E"/>
    <w:lvl w:ilvl="0">
      <w:start w:val="1"/>
      <w:numFmt w:val="decimal"/>
      <w:lvlText w:val="%1."/>
      <w:lvlJc w:val="left"/>
      <w:pPr>
        <w:tabs>
          <w:tab w:val="num" w:pos="720"/>
        </w:tabs>
        <w:ind w:left="720" w:hanging="360"/>
      </w:pPr>
    </w:lvl>
  </w:abstractNum>
  <w:abstractNum w:abstractNumId="4">
    <w:nsid w:val="FFFFFF80"/>
    <w:multiLevelType w:val="singleLevel"/>
    <w:tmpl w:val="00065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34EF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42E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B43D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2E9054"/>
    <w:lvl w:ilvl="0">
      <w:start w:val="1"/>
      <w:numFmt w:val="decimal"/>
      <w:lvlText w:val="%1."/>
      <w:lvlJc w:val="left"/>
      <w:pPr>
        <w:tabs>
          <w:tab w:val="num" w:pos="360"/>
        </w:tabs>
        <w:ind w:left="360" w:hanging="360"/>
      </w:pPr>
    </w:lvl>
  </w:abstractNum>
  <w:abstractNum w:abstractNumId="9">
    <w:nsid w:val="FFFFFF89"/>
    <w:multiLevelType w:val="singleLevel"/>
    <w:tmpl w:val="6A500AD0"/>
    <w:lvl w:ilvl="0">
      <w:start w:val="1"/>
      <w:numFmt w:val="bullet"/>
      <w:lvlText w:val=""/>
      <w:lvlJc w:val="left"/>
      <w:pPr>
        <w:tabs>
          <w:tab w:val="num" w:pos="360"/>
        </w:tabs>
        <w:ind w:left="360" w:hanging="360"/>
      </w:pPr>
      <w:rPr>
        <w:rFonts w:ascii="Symbol" w:hAnsi="Symbol" w:hint="default"/>
      </w:rPr>
    </w:lvl>
  </w:abstractNum>
  <w:abstractNum w:abstractNumId="1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08E560D1"/>
    <w:multiLevelType w:val="hybridMultilevel"/>
    <w:tmpl w:val="07C45336"/>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9B801CB"/>
    <w:multiLevelType w:val="hybridMultilevel"/>
    <w:tmpl w:val="8D6E1D5C"/>
    <w:lvl w:ilvl="0" w:tplc="716CDB28">
      <w:start w:val="1"/>
      <w:numFmt w:val="bullet"/>
      <w:pStyle w:val="PCB"/>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5D48F7"/>
    <w:multiLevelType w:val="hybridMultilevel"/>
    <w:tmpl w:val="EC807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1B2CBE"/>
    <w:multiLevelType w:val="singleLevel"/>
    <w:tmpl w:val="0409000F"/>
    <w:lvl w:ilvl="0">
      <w:start w:val="1"/>
      <w:numFmt w:val="decimal"/>
      <w:lvlText w:val="%1."/>
      <w:lvlJc w:val="left"/>
      <w:pPr>
        <w:tabs>
          <w:tab w:val="num" w:pos="360"/>
        </w:tabs>
        <w:ind w:left="360" w:hanging="360"/>
      </w:pPr>
    </w:lvl>
  </w:abstractNum>
  <w:abstractNum w:abstractNumId="19">
    <w:nsid w:val="58D07A33"/>
    <w:multiLevelType w:val="hybridMultilevel"/>
    <w:tmpl w:val="77EC2504"/>
    <w:lvl w:ilvl="0" w:tplc="CD90B03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nsid w:val="6B5C6868"/>
    <w:multiLevelType w:val="hybridMultilevel"/>
    <w:tmpl w:val="6290BC30"/>
    <w:lvl w:ilvl="0" w:tplc="04DE267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0"/>
  </w:num>
  <w:num w:numId="2">
    <w:abstractNumId w:val="10"/>
  </w:num>
  <w:num w:numId="3">
    <w:abstractNumId w:val="16"/>
  </w:num>
  <w:num w:numId="4">
    <w:abstractNumId w:val="23"/>
  </w:num>
  <w:num w:numId="5">
    <w:abstractNumId w:val="15"/>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21"/>
  </w:num>
  <w:num w:numId="20">
    <w:abstractNumId w:val="22"/>
  </w:num>
  <w:num w:numId="21">
    <w:abstractNumId w:val="17"/>
  </w:num>
  <w:num w:numId="22">
    <w:abstractNumId w:val="14"/>
  </w:num>
  <w:num w:numId="23">
    <w:abstractNumId w:val="13"/>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ney Johnson">
    <w15:presenceInfo w15:providerId="Windows Live" w15:userId="741b44f42194ea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InvalidXml/>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A6"/>
    <w:rsid w:val="000006D9"/>
    <w:rsid w:val="00000DF0"/>
    <w:rsid w:val="00006656"/>
    <w:rsid w:val="000227B2"/>
    <w:rsid w:val="00023D08"/>
    <w:rsid w:val="000365DD"/>
    <w:rsid w:val="000376E6"/>
    <w:rsid w:val="00044489"/>
    <w:rsid w:val="0005669E"/>
    <w:rsid w:val="000655CD"/>
    <w:rsid w:val="00072623"/>
    <w:rsid w:val="000758F5"/>
    <w:rsid w:val="00080FBC"/>
    <w:rsid w:val="00093060"/>
    <w:rsid w:val="000A16F9"/>
    <w:rsid w:val="000A36EB"/>
    <w:rsid w:val="000A63D8"/>
    <w:rsid w:val="000B1C49"/>
    <w:rsid w:val="000B285C"/>
    <w:rsid w:val="000B28A2"/>
    <w:rsid w:val="000B6B47"/>
    <w:rsid w:val="000D0DAA"/>
    <w:rsid w:val="000E09A0"/>
    <w:rsid w:val="000E0B7D"/>
    <w:rsid w:val="000E1BE4"/>
    <w:rsid w:val="000E2EB2"/>
    <w:rsid w:val="000F0FE4"/>
    <w:rsid w:val="000F2F0C"/>
    <w:rsid w:val="000F521C"/>
    <w:rsid w:val="0010561A"/>
    <w:rsid w:val="00106FD8"/>
    <w:rsid w:val="001079FA"/>
    <w:rsid w:val="001164EE"/>
    <w:rsid w:val="0011698C"/>
    <w:rsid w:val="0014277D"/>
    <w:rsid w:val="00167C13"/>
    <w:rsid w:val="0017534F"/>
    <w:rsid w:val="00176B6C"/>
    <w:rsid w:val="001A7790"/>
    <w:rsid w:val="001C1C5C"/>
    <w:rsid w:val="001C62CD"/>
    <w:rsid w:val="001D33BD"/>
    <w:rsid w:val="001E0316"/>
    <w:rsid w:val="001E447E"/>
    <w:rsid w:val="001F6F1D"/>
    <w:rsid w:val="002123A1"/>
    <w:rsid w:val="0021419A"/>
    <w:rsid w:val="00217F7C"/>
    <w:rsid w:val="00232265"/>
    <w:rsid w:val="00235553"/>
    <w:rsid w:val="002357F6"/>
    <w:rsid w:val="00235E93"/>
    <w:rsid w:val="002465CE"/>
    <w:rsid w:val="0025467F"/>
    <w:rsid w:val="00274D4A"/>
    <w:rsid w:val="002858E8"/>
    <w:rsid w:val="00291F99"/>
    <w:rsid w:val="00292D65"/>
    <w:rsid w:val="00293A27"/>
    <w:rsid w:val="002B3875"/>
    <w:rsid w:val="002B6387"/>
    <w:rsid w:val="002E39FA"/>
    <w:rsid w:val="002F03D1"/>
    <w:rsid w:val="002F7687"/>
    <w:rsid w:val="00313AF6"/>
    <w:rsid w:val="00313F1A"/>
    <w:rsid w:val="003147C6"/>
    <w:rsid w:val="003165F6"/>
    <w:rsid w:val="00333271"/>
    <w:rsid w:val="00344FA6"/>
    <w:rsid w:val="00346791"/>
    <w:rsid w:val="0035642D"/>
    <w:rsid w:val="0037449D"/>
    <w:rsid w:val="003759B9"/>
    <w:rsid w:val="003927D6"/>
    <w:rsid w:val="00394216"/>
    <w:rsid w:val="003A4CB1"/>
    <w:rsid w:val="003B27F3"/>
    <w:rsid w:val="003D1031"/>
    <w:rsid w:val="003D4ACC"/>
    <w:rsid w:val="003F5D03"/>
    <w:rsid w:val="004014FA"/>
    <w:rsid w:val="00407119"/>
    <w:rsid w:val="00407CA9"/>
    <w:rsid w:val="00412FAE"/>
    <w:rsid w:val="00441F7C"/>
    <w:rsid w:val="00444BA4"/>
    <w:rsid w:val="004650BD"/>
    <w:rsid w:val="00470088"/>
    <w:rsid w:val="00493CA4"/>
    <w:rsid w:val="004A509E"/>
    <w:rsid w:val="004A5FA9"/>
    <w:rsid w:val="004A625E"/>
    <w:rsid w:val="004A64EF"/>
    <w:rsid w:val="004A69C9"/>
    <w:rsid w:val="004B017A"/>
    <w:rsid w:val="004B0944"/>
    <w:rsid w:val="004C3D4D"/>
    <w:rsid w:val="004D1A94"/>
    <w:rsid w:val="004D1CEE"/>
    <w:rsid w:val="004E00A5"/>
    <w:rsid w:val="005004A3"/>
    <w:rsid w:val="0052627D"/>
    <w:rsid w:val="005271E3"/>
    <w:rsid w:val="0052785E"/>
    <w:rsid w:val="00535A2F"/>
    <w:rsid w:val="00535CB7"/>
    <w:rsid w:val="00556B98"/>
    <w:rsid w:val="00565A03"/>
    <w:rsid w:val="005975A9"/>
    <w:rsid w:val="005B367B"/>
    <w:rsid w:val="005B5498"/>
    <w:rsid w:val="005B5A36"/>
    <w:rsid w:val="005F3385"/>
    <w:rsid w:val="006026EE"/>
    <w:rsid w:val="00607879"/>
    <w:rsid w:val="006118E1"/>
    <w:rsid w:val="00617F97"/>
    <w:rsid w:val="006210D1"/>
    <w:rsid w:val="00622AD6"/>
    <w:rsid w:val="00626914"/>
    <w:rsid w:val="00635119"/>
    <w:rsid w:val="006448B0"/>
    <w:rsid w:val="0066423C"/>
    <w:rsid w:val="00665075"/>
    <w:rsid w:val="00667467"/>
    <w:rsid w:val="00673D04"/>
    <w:rsid w:val="0068066C"/>
    <w:rsid w:val="00680D9A"/>
    <w:rsid w:val="00681C00"/>
    <w:rsid w:val="00692BA8"/>
    <w:rsid w:val="00694F0C"/>
    <w:rsid w:val="006A2E82"/>
    <w:rsid w:val="006A3D53"/>
    <w:rsid w:val="006B2D4E"/>
    <w:rsid w:val="006B48E7"/>
    <w:rsid w:val="006C1F5F"/>
    <w:rsid w:val="006C52AC"/>
    <w:rsid w:val="006D7AE0"/>
    <w:rsid w:val="006E1BA5"/>
    <w:rsid w:val="006F2015"/>
    <w:rsid w:val="006F4CFF"/>
    <w:rsid w:val="006F622D"/>
    <w:rsid w:val="007071A7"/>
    <w:rsid w:val="0070778D"/>
    <w:rsid w:val="00711219"/>
    <w:rsid w:val="00711944"/>
    <w:rsid w:val="0071206B"/>
    <w:rsid w:val="007148A3"/>
    <w:rsid w:val="007151A4"/>
    <w:rsid w:val="00723DA7"/>
    <w:rsid w:val="0072464E"/>
    <w:rsid w:val="0073778B"/>
    <w:rsid w:val="0075055A"/>
    <w:rsid w:val="00756726"/>
    <w:rsid w:val="00760627"/>
    <w:rsid w:val="00776118"/>
    <w:rsid w:val="00785CAF"/>
    <w:rsid w:val="007A03AC"/>
    <w:rsid w:val="007A41CB"/>
    <w:rsid w:val="007B702B"/>
    <w:rsid w:val="007C0EEC"/>
    <w:rsid w:val="007C1DBB"/>
    <w:rsid w:val="007E0DFA"/>
    <w:rsid w:val="007E315B"/>
    <w:rsid w:val="007E4FE1"/>
    <w:rsid w:val="00816A01"/>
    <w:rsid w:val="0083531C"/>
    <w:rsid w:val="00835984"/>
    <w:rsid w:val="00841039"/>
    <w:rsid w:val="00841DE3"/>
    <w:rsid w:val="00843DBD"/>
    <w:rsid w:val="00855985"/>
    <w:rsid w:val="008A66FB"/>
    <w:rsid w:val="008B0DD2"/>
    <w:rsid w:val="008C0DA5"/>
    <w:rsid w:val="008C69E8"/>
    <w:rsid w:val="008D0B37"/>
    <w:rsid w:val="008D6230"/>
    <w:rsid w:val="008D67B8"/>
    <w:rsid w:val="008D7025"/>
    <w:rsid w:val="008E41A3"/>
    <w:rsid w:val="008F7558"/>
    <w:rsid w:val="00905E1F"/>
    <w:rsid w:val="009136BE"/>
    <w:rsid w:val="0092321E"/>
    <w:rsid w:val="009335EE"/>
    <w:rsid w:val="009371EA"/>
    <w:rsid w:val="00937B96"/>
    <w:rsid w:val="00950723"/>
    <w:rsid w:val="00957806"/>
    <w:rsid w:val="00964377"/>
    <w:rsid w:val="009677D1"/>
    <w:rsid w:val="00972414"/>
    <w:rsid w:val="0097350A"/>
    <w:rsid w:val="00977A53"/>
    <w:rsid w:val="00980660"/>
    <w:rsid w:val="00980FD6"/>
    <w:rsid w:val="00991D7C"/>
    <w:rsid w:val="009A2B5C"/>
    <w:rsid w:val="009A46DB"/>
    <w:rsid w:val="009B255E"/>
    <w:rsid w:val="009C10F6"/>
    <w:rsid w:val="009C60DB"/>
    <w:rsid w:val="009E2562"/>
    <w:rsid w:val="009E34A9"/>
    <w:rsid w:val="009E4EEB"/>
    <w:rsid w:val="009F36F4"/>
    <w:rsid w:val="00A06ACA"/>
    <w:rsid w:val="00A11774"/>
    <w:rsid w:val="00A2124E"/>
    <w:rsid w:val="00A27422"/>
    <w:rsid w:val="00A56D51"/>
    <w:rsid w:val="00A571F8"/>
    <w:rsid w:val="00A84753"/>
    <w:rsid w:val="00A85936"/>
    <w:rsid w:val="00A91686"/>
    <w:rsid w:val="00A97CDA"/>
    <w:rsid w:val="00AA4E22"/>
    <w:rsid w:val="00AB6EDA"/>
    <w:rsid w:val="00AC6BC5"/>
    <w:rsid w:val="00AC785F"/>
    <w:rsid w:val="00AD1118"/>
    <w:rsid w:val="00AD2DBE"/>
    <w:rsid w:val="00AE3208"/>
    <w:rsid w:val="00AF6D6E"/>
    <w:rsid w:val="00B104E5"/>
    <w:rsid w:val="00B223C2"/>
    <w:rsid w:val="00B25DB9"/>
    <w:rsid w:val="00B31E5B"/>
    <w:rsid w:val="00B45AC7"/>
    <w:rsid w:val="00B52118"/>
    <w:rsid w:val="00B53108"/>
    <w:rsid w:val="00B60008"/>
    <w:rsid w:val="00B73FA9"/>
    <w:rsid w:val="00B937BE"/>
    <w:rsid w:val="00BB046C"/>
    <w:rsid w:val="00BC24CB"/>
    <w:rsid w:val="00BD4E7F"/>
    <w:rsid w:val="00BE580F"/>
    <w:rsid w:val="00BF6EF2"/>
    <w:rsid w:val="00C03B60"/>
    <w:rsid w:val="00C11883"/>
    <w:rsid w:val="00C168F8"/>
    <w:rsid w:val="00C173A0"/>
    <w:rsid w:val="00C2588C"/>
    <w:rsid w:val="00C25E82"/>
    <w:rsid w:val="00C308FD"/>
    <w:rsid w:val="00C36880"/>
    <w:rsid w:val="00C45FB6"/>
    <w:rsid w:val="00C5502A"/>
    <w:rsid w:val="00C552C1"/>
    <w:rsid w:val="00C820EF"/>
    <w:rsid w:val="00C94868"/>
    <w:rsid w:val="00CB4603"/>
    <w:rsid w:val="00CB5376"/>
    <w:rsid w:val="00CC20CA"/>
    <w:rsid w:val="00CC3937"/>
    <w:rsid w:val="00CD0FFC"/>
    <w:rsid w:val="00CE5E91"/>
    <w:rsid w:val="00CF2669"/>
    <w:rsid w:val="00CF426D"/>
    <w:rsid w:val="00D10FDB"/>
    <w:rsid w:val="00D136E0"/>
    <w:rsid w:val="00D166DB"/>
    <w:rsid w:val="00D243C4"/>
    <w:rsid w:val="00D4031C"/>
    <w:rsid w:val="00D46CAB"/>
    <w:rsid w:val="00D50322"/>
    <w:rsid w:val="00D62B34"/>
    <w:rsid w:val="00D63EC4"/>
    <w:rsid w:val="00D66A68"/>
    <w:rsid w:val="00D96611"/>
    <w:rsid w:val="00DA4B5C"/>
    <w:rsid w:val="00DA6990"/>
    <w:rsid w:val="00DE7CEB"/>
    <w:rsid w:val="00DF2EA4"/>
    <w:rsid w:val="00DF4581"/>
    <w:rsid w:val="00E010D6"/>
    <w:rsid w:val="00E011EA"/>
    <w:rsid w:val="00E12793"/>
    <w:rsid w:val="00E15DE3"/>
    <w:rsid w:val="00E17287"/>
    <w:rsid w:val="00E2325F"/>
    <w:rsid w:val="00E24FAA"/>
    <w:rsid w:val="00E25CB8"/>
    <w:rsid w:val="00E265BC"/>
    <w:rsid w:val="00E27AE2"/>
    <w:rsid w:val="00E33F98"/>
    <w:rsid w:val="00E54944"/>
    <w:rsid w:val="00E5562D"/>
    <w:rsid w:val="00E617BD"/>
    <w:rsid w:val="00E7069E"/>
    <w:rsid w:val="00E707A8"/>
    <w:rsid w:val="00E77B3F"/>
    <w:rsid w:val="00E802ED"/>
    <w:rsid w:val="00E86420"/>
    <w:rsid w:val="00EA5844"/>
    <w:rsid w:val="00EB06E0"/>
    <w:rsid w:val="00EB2389"/>
    <w:rsid w:val="00EB2967"/>
    <w:rsid w:val="00EC01BD"/>
    <w:rsid w:val="00ED64FE"/>
    <w:rsid w:val="00EE4005"/>
    <w:rsid w:val="00EF0E8A"/>
    <w:rsid w:val="00EF3802"/>
    <w:rsid w:val="00EF7AA8"/>
    <w:rsid w:val="00F035D8"/>
    <w:rsid w:val="00F05800"/>
    <w:rsid w:val="00F10DE1"/>
    <w:rsid w:val="00F210DB"/>
    <w:rsid w:val="00F4191F"/>
    <w:rsid w:val="00F51970"/>
    <w:rsid w:val="00F67D00"/>
    <w:rsid w:val="00F76B9D"/>
    <w:rsid w:val="00F82B60"/>
    <w:rsid w:val="00F907A6"/>
    <w:rsid w:val="00F94635"/>
    <w:rsid w:val="00F9677E"/>
    <w:rsid w:val="00FA0E2E"/>
    <w:rsid w:val="00FA436F"/>
    <w:rsid w:val="00FD4891"/>
    <w:rsid w:val="00FD653D"/>
    <w:rsid w:val="00FE7AE7"/>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B5A36"/>
    <w:rPr>
      <w:rFonts w:ascii="Perpetua" w:hAnsi="Perpetua"/>
    </w:rPr>
  </w:style>
  <w:style w:type="paragraph" w:styleId="Heading1">
    <w:name w:val="heading 1"/>
    <w:basedOn w:val="Normal"/>
    <w:next w:val="Normal"/>
    <w:qFormat/>
    <w:rsid w:val="005B5A36"/>
    <w:pPr>
      <w:keepNext/>
      <w:outlineLvl w:val="0"/>
    </w:pPr>
    <w:rPr>
      <w:b/>
    </w:rPr>
  </w:style>
  <w:style w:type="paragraph" w:styleId="Heading2">
    <w:name w:val="heading 2"/>
    <w:basedOn w:val="Normal"/>
    <w:next w:val="Normal"/>
    <w:qFormat/>
    <w:rsid w:val="005B5A36"/>
    <w:pPr>
      <w:keepNext/>
      <w:spacing w:before="240" w:after="60"/>
      <w:outlineLvl w:val="1"/>
    </w:pPr>
    <w:rPr>
      <w:rFonts w:ascii="Arial" w:hAnsi="Arial"/>
      <w:b/>
      <w:i/>
      <w:sz w:val="24"/>
    </w:rPr>
  </w:style>
  <w:style w:type="paragraph" w:styleId="Heading3">
    <w:name w:val="heading 3"/>
    <w:basedOn w:val="Normal"/>
    <w:next w:val="Normal"/>
    <w:qFormat/>
    <w:rsid w:val="005B5A3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5B5A36"/>
    <w:pPr>
      <w:spacing w:after="240"/>
      <w:ind w:firstLine="288"/>
      <w:jc w:val="both"/>
    </w:pPr>
    <w:rPr>
      <w:rFonts w:ascii="Helvetica LT Std" w:hAnsi="Helvetica LT Std"/>
      <w:color w:val="000000"/>
      <w:sz w:val="24"/>
    </w:rPr>
  </w:style>
  <w:style w:type="paragraph" w:styleId="PlainText">
    <w:name w:val="Plain Text"/>
    <w:basedOn w:val="Normal"/>
    <w:link w:val="PlainTextChar"/>
    <w:rsid w:val="005B5A36"/>
    <w:rPr>
      <w:rFonts w:ascii="Courier New" w:hAnsi="Courier New" w:cs="Courier New"/>
      <w:sz w:val="24"/>
      <w:szCs w:val="24"/>
    </w:rPr>
  </w:style>
  <w:style w:type="paragraph" w:customStyle="1" w:styleId="QU">
    <w:name w:val="QU"/>
    <w:rsid w:val="005B5A36"/>
    <w:pPr>
      <w:spacing w:after="240"/>
      <w:jc w:val="both"/>
    </w:pPr>
    <w:rPr>
      <w:rFonts w:ascii="Helvetica LT Std" w:hAnsi="Helvetica LT Std"/>
      <w:b/>
      <w:color w:val="000080"/>
      <w:sz w:val="24"/>
    </w:rPr>
  </w:style>
  <w:style w:type="paragraph" w:customStyle="1" w:styleId="PD">
    <w:name w:val="PD"/>
    <w:rsid w:val="005B5A36"/>
    <w:pPr>
      <w:spacing w:after="240"/>
      <w:ind w:left="720" w:firstLine="288"/>
      <w:jc w:val="both"/>
    </w:pPr>
    <w:rPr>
      <w:rFonts w:ascii="Helvetica LT Std" w:hAnsi="Helvetica LT Std"/>
      <w:color w:val="000000"/>
      <w:sz w:val="24"/>
    </w:rPr>
  </w:style>
  <w:style w:type="paragraph" w:customStyle="1" w:styleId="HA">
    <w:name w:val="HA"/>
    <w:rsid w:val="005B5A36"/>
    <w:pPr>
      <w:spacing w:after="240"/>
      <w:jc w:val="center"/>
    </w:pPr>
    <w:rPr>
      <w:rFonts w:ascii="Helvetica LT Std" w:hAnsi="Helvetica LT Std"/>
      <w:b/>
      <w:caps/>
      <w:w w:val="110"/>
      <w:sz w:val="36"/>
      <w:szCs w:val="32"/>
    </w:rPr>
  </w:style>
  <w:style w:type="paragraph" w:customStyle="1" w:styleId="PB">
    <w:name w:val="PB"/>
    <w:rsid w:val="005B5A36"/>
    <w:pPr>
      <w:spacing w:after="240"/>
      <w:jc w:val="both"/>
    </w:pPr>
    <w:rPr>
      <w:rFonts w:ascii="Helvetica LT Std" w:hAnsi="Helvetica LT Std"/>
      <w:color w:val="000000"/>
      <w:sz w:val="24"/>
    </w:rPr>
  </w:style>
  <w:style w:type="paragraph" w:customStyle="1" w:styleId="PC">
    <w:name w:val="PC"/>
    <w:rsid w:val="005B5A36"/>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5B5A36"/>
    <w:pPr>
      <w:spacing w:before="120" w:after="240"/>
      <w:jc w:val="center"/>
    </w:pPr>
    <w:rPr>
      <w:rFonts w:ascii="Helvetica LT Std" w:hAnsi="Helvetica LT Std"/>
      <w:b/>
      <w:color w:val="000080"/>
      <w:w w:val="105"/>
      <w:sz w:val="32"/>
    </w:rPr>
  </w:style>
  <w:style w:type="paragraph" w:customStyle="1" w:styleId="HC">
    <w:name w:val="HC"/>
    <w:rsid w:val="005B5A36"/>
    <w:pPr>
      <w:tabs>
        <w:tab w:val="left" w:pos="284"/>
      </w:tabs>
      <w:spacing w:before="120" w:after="120"/>
      <w:jc w:val="center"/>
    </w:pPr>
    <w:rPr>
      <w:rFonts w:ascii="Helvetica LT Std" w:hAnsi="Helvetica LT Std"/>
      <w:b/>
      <w:color w:val="333333"/>
      <w:w w:val="110"/>
      <w:sz w:val="28"/>
    </w:rPr>
  </w:style>
  <w:style w:type="paragraph" w:customStyle="1" w:styleId="PH">
    <w:name w:val="PH"/>
    <w:rsid w:val="005B5A36"/>
    <w:pPr>
      <w:tabs>
        <w:tab w:val="left" w:pos="360"/>
      </w:tabs>
      <w:spacing w:after="240"/>
      <w:ind w:left="360" w:hanging="360"/>
      <w:jc w:val="both"/>
    </w:pPr>
    <w:rPr>
      <w:rFonts w:ascii="Helvetica LT Std" w:hAnsi="Helvetica LT Std"/>
      <w:color w:val="000000"/>
      <w:sz w:val="24"/>
    </w:rPr>
  </w:style>
  <w:style w:type="character" w:styleId="PageNumber">
    <w:name w:val="page number"/>
    <w:rsid w:val="005B5A36"/>
  </w:style>
  <w:style w:type="paragraph" w:customStyle="1" w:styleId="HD">
    <w:name w:val="HD"/>
    <w:rsid w:val="005B5A36"/>
    <w:pPr>
      <w:spacing w:before="120" w:after="120"/>
      <w:jc w:val="center"/>
    </w:pPr>
    <w:rPr>
      <w:rFonts w:ascii="Helvetica LT Std" w:hAnsi="Helvetica LT Std"/>
      <w:b/>
      <w:w w:val="90"/>
      <w:sz w:val="26"/>
    </w:rPr>
  </w:style>
  <w:style w:type="paragraph" w:customStyle="1" w:styleId="HE">
    <w:name w:val="HE"/>
    <w:rsid w:val="005B5A36"/>
    <w:pPr>
      <w:spacing w:before="120" w:after="120"/>
      <w:jc w:val="center"/>
    </w:pPr>
    <w:rPr>
      <w:rFonts w:ascii="Helvetica LT Std" w:hAnsi="Helvetica LT Std"/>
      <w:b/>
      <w:sz w:val="24"/>
    </w:rPr>
  </w:style>
  <w:style w:type="paragraph" w:customStyle="1" w:styleId="PI">
    <w:name w:val="PI"/>
    <w:rsid w:val="005B5A36"/>
    <w:pPr>
      <w:spacing w:after="240"/>
      <w:ind w:left="360" w:hanging="360"/>
      <w:jc w:val="both"/>
    </w:pPr>
    <w:rPr>
      <w:rFonts w:ascii="Helvetica LT Std" w:hAnsi="Helvetica LT Std"/>
      <w:color w:val="000000"/>
      <w:sz w:val="24"/>
    </w:rPr>
  </w:style>
  <w:style w:type="paragraph" w:customStyle="1" w:styleId="PE">
    <w:name w:val="PE"/>
    <w:rsid w:val="005B5A36"/>
    <w:pPr>
      <w:spacing w:after="240"/>
      <w:ind w:left="720"/>
      <w:jc w:val="both"/>
    </w:pPr>
    <w:rPr>
      <w:rFonts w:ascii="Helvetica LT Std" w:hAnsi="Helvetica LT Std"/>
      <w:color w:val="000000"/>
      <w:sz w:val="24"/>
    </w:rPr>
  </w:style>
  <w:style w:type="paragraph" w:customStyle="1" w:styleId="PG">
    <w:name w:val="PG"/>
    <w:rsid w:val="005B5A36"/>
    <w:pPr>
      <w:spacing w:after="240"/>
      <w:ind w:left="360"/>
      <w:jc w:val="both"/>
    </w:pPr>
    <w:rPr>
      <w:rFonts w:ascii="Helvetica LT Std" w:hAnsi="Helvetica LT Std"/>
      <w:color w:val="000000"/>
      <w:sz w:val="24"/>
    </w:rPr>
  </w:style>
  <w:style w:type="paragraph" w:customStyle="1" w:styleId="HF">
    <w:name w:val="HF"/>
    <w:rsid w:val="005B5A36"/>
    <w:pPr>
      <w:spacing w:before="120" w:after="120"/>
      <w:jc w:val="center"/>
    </w:pPr>
    <w:rPr>
      <w:rFonts w:ascii="Tw Cen MT" w:hAnsi="Tw Cen MT"/>
      <w:b/>
    </w:rPr>
  </w:style>
  <w:style w:type="paragraph" w:customStyle="1" w:styleId="PF">
    <w:name w:val="PF"/>
    <w:rsid w:val="005B5A36"/>
    <w:pPr>
      <w:tabs>
        <w:tab w:val="left" w:pos="1080"/>
      </w:tabs>
      <w:spacing w:after="240"/>
      <w:ind w:left="1080" w:hanging="360"/>
      <w:jc w:val="both"/>
    </w:pPr>
    <w:rPr>
      <w:rFonts w:ascii="Helvetica LT Std" w:hAnsi="Helvetica LT Std"/>
      <w:color w:val="000000"/>
      <w:sz w:val="24"/>
    </w:rPr>
  </w:style>
  <w:style w:type="paragraph" w:customStyle="1" w:styleId="PK">
    <w:name w:val="PK"/>
    <w:rsid w:val="005B5A36"/>
    <w:pPr>
      <w:spacing w:after="240"/>
      <w:ind w:left="360" w:firstLine="288"/>
      <w:jc w:val="both"/>
    </w:pPr>
    <w:rPr>
      <w:rFonts w:ascii="Helvetica LT Std" w:hAnsi="Helvetica LT Std"/>
      <w:color w:val="000000"/>
      <w:sz w:val="24"/>
    </w:rPr>
  </w:style>
  <w:style w:type="paragraph" w:customStyle="1" w:styleId="PQ">
    <w:name w:val="PQ"/>
    <w:link w:val="PQChar"/>
    <w:rsid w:val="005B5A36"/>
    <w:pPr>
      <w:tabs>
        <w:tab w:val="left" w:pos="360"/>
      </w:tabs>
      <w:spacing w:after="120"/>
      <w:ind w:left="360" w:hanging="360"/>
      <w:jc w:val="both"/>
    </w:pPr>
    <w:rPr>
      <w:color w:val="000000"/>
    </w:rPr>
  </w:style>
  <w:style w:type="paragraph" w:customStyle="1" w:styleId="PR">
    <w:name w:val="PR"/>
    <w:rsid w:val="005B5A36"/>
    <w:pPr>
      <w:spacing w:after="240"/>
      <w:ind w:left="360" w:firstLine="288"/>
      <w:jc w:val="both"/>
    </w:pPr>
    <w:rPr>
      <w:color w:val="000000"/>
    </w:rPr>
  </w:style>
  <w:style w:type="paragraph" w:customStyle="1" w:styleId="EXAMPLE">
    <w:name w:val="EXAMPLE"/>
    <w:rsid w:val="005B5A36"/>
    <w:pPr>
      <w:pBdr>
        <w:top w:val="single" w:sz="4" w:space="1" w:color="auto"/>
        <w:bottom w:val="single" w:sz="4" w:space="1" w:color="auto"/>
      </w:pBdr>
      <w:spacing w:before="120" w:after="120"/>
      <w:ind w:left="360" w:right="360" w:firstLine="288"/>
      <w:jc w:val="both"/>
    </w:pPr>
  </w:style>
  <w:style w:type="paragraph" w:customStyle="1" w:styleId="EXAMPLE1">
    <w:name w:val="EXAMPLE1"/>
    <w:rsid w:val="005B5A36"/>
    <w:pPr>
      <w:pBdr>
        <w:top w:val="single" w:sz="4" w:space="1" w:color="auto"/>
      </w:pBdr>
      <w:spacing w:before="120" w:after="120"/>
      <w:ind w:left="360" w:right="360" w:firstLine="288"/>
      <w:jc w:val="both"/>
    </w:pPr>
  </w:style>
  <w:style w:type="paragraph" w:customStyle="1" w:styleId="EXAMPLE2">
    <w:name w:val="EXAMPLE2"/>
    <w:rsid w:val="005B5A36"/>
    <w:pPr>
      <w:spacing w:before="120" w:after="120"/>
      <w:ind w:left="360" w:right="360" w:firstLine="288"/>
      <w:jc w:val="both"/>
    </w:pPr>
  </w:style>
  <w:style w:type="paragraph" w:customStyle="1" w:styleId="EXAMPLE3">
    <w:name w:val="EXAMPLE3"/>
    <w:rsid w:val="005B5A36"/>
    <w:pPr>
      <w:pBdr>
        <w:bottom w:val="single" w:sz="4" w:space="1" w:color="auto"/>
      </w:pBdr>
      <w:spacing w:before="120" w:after="120"/>
      <w:ind w:left="360" w:right="360" w:firstLine="288"/>
      <w:jc w:val="both"/>
    </w:pPr>
  </w:style>
  <w:style w:type="paragraph" w:customStyle="1" w:styleId="PS">
    <w:name w:val="PS"/>
    <w:rsid w:val="005B5A36"/>
    <w:pPr>
      <w:ind w:left="360"/>
      <w:jc w:val="both"/>
    </w:pPr>
    <w:rPr>
      <w:color w:val="000000"/>
    </w:rPr>
  </w:style>
  <w:style w:type="paragraph" w:customStyle="1" w:styleId="PN">
    <w:name w:val="PN"/>
    <w:rsid w:val="005B5A36"/>
    <w:pPr>
      <w:spacing w:after="240"/>
      <w:ind w:left="720" w:firstLine="288"/>
      <w:jc w:val="both"/>
    </w:pPr>
    <w:rPr>
      <w:rFonts w:ascii="Helvetica LT Std" w:eastAsia="MS Mincho" w:hAnsi="Helvetica LT Std"/>
      <w:color w:val="000000"/>
    </w:rPr>
  </w:style>
  <w:style w:type="paragraph" w:customStyle="1" w:styleId="TOC">
    <w:name w:val="TOC"/>
    <w:rsid w:val="005B5A36"/>
    <w:pPr>
      <w:tabs>
        <w:tab w:val="left" w:leader="dot" w:pos="6984"/>
      </w:tabs>
      <w:ind w:left="720" w:hanging="720"/>
    </w:pPr>
    <w:rPr>
      <w:rFonts w:ascii="Helvetica LT Std" w:eastAsia="MS Mincho" w:hAnsi="Helvetica LT Std"/>
      <w:color w:val="000000"/>
      <w:sz w:val="24"/>
    </w:rPr>
  </w:style>
  <w:style w:type="paragraph" w:customStyle="1" w:styleId="PP">
    <w:name w:val="PP"/>
    <w:rsid w:val="005B5A36"/>
    <w:pPr>
      <w:pBdr>
        <w:top w:val="single" w:sz="4" w:space="1" w:color="auto"/>
        <w:bottom w:val="single" w:sz="4" w:space="1" w:color="auto"/>
      </w:pBdr>
      <w:spacing w:after="240"/>
      <w:jc w:val="both"/>
    </w:pPr>
    <w:rPr>
      <w:color w:val="000000"/>
      <w:sz w:val="24"/>
    </w:rPr>
  </w:style>
  <w:style w:type="paragraph" w:customStyle="1" w:styleId="PO">
    <w:name w:val="PO"/>
    <w:rsid w:val="005B5A36"/>
    <w:pPr>
      <w:spacing w:after="240"/>
      <w:jc w:val="both"/>
    </w:pPr>
    <w:rPr>
      <w:rFonts w:ascii="Helvetica LT Std" w:hAnsi="Helvetica LT Std"/>
      <w:color w:val="000000"/>
      <w:w w:val="95"/>
      <w:szCs w:val="16"/>
    </w:rPr>
  </w:style>
  <w:style w:type="paragraph" w:styleId="Header">
    <w:name w:val="header"/>
    <w:basedOn w:val="Normal"/>
    <w:link w:val="HeaderChar"/>
    <w:rsid w:val="005B5A36"/>
    <w:pPr>
      <w:tabs>
        <w:tab w:val="center" w:pos="4320"/>
        <w:tab w:val="right" w:pos="8640"/>
      </w:tabs>
    </w:pPr>
    <w:rPr>
      <w:rFonts w:ascii="Times New Roman" w:hAnsi="Times New Roman"/>
      <w:sz w:val="24"/>
      <w:szCs w:val="24"/>
    </w:rPr>
  </w:style>
  <w:style w:type="paragraph" w:styleId="Footer">
    <w:name w:val="footer"/>
    <w:basedOn w:val="Normal"/>
    <w:link w:val="FooterChar"/>
    <w:rsid w:val="005B5A36"/>
    <w:pPr>
      <w:tabs>
        <w:tab w:val="center" w:pos="4320"/>
        <w:tab w:val="right" w:pos="8640"/>
      </w:tabs>
    </w:pPr>
    <w:rPr>
      <w:rFonts w:ascii="Times New Roman" w:hAnsi="Times New Roman"/>
      <w:sz w:val="24"/>
      <w:szCs w:val="24"/>
    </w:rPr>
  </w:style>
  <w:style w:type="paragraph" w:styleId="Caption">
    <w:name w:val="caption"/>
    <w:basedOn w:val="Normal"/>
    <w:next w:val="Normal"/>
    <w:qFormat/>
    <w:rsid w:val="005B5A36"/>
    <w:pPr>
      <w:jc w:val="right"/>
    </w:pPr>
    <w:rPr>
      <w:rFonts w:ascii="Arial" w:hAnsi="Arial"/>
      <w:b/>
      <w:sz w:val="24"/>
      <w:szCs w:val="24"/>
    </w:rPr>
  </w:style>
  <w:style w:type="paragraph" w:customStyle="1" w:styleId="GUIDEX">
    <w:name w:val="GUIDEX"/>
    <w:rsid w:val="005B5A36"/>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5B5A36"/>
    <w:pPr>
      <w:tabs>
        <w:tab w:val="clear" w:pos="6984"/>
        <w:tab w:val="left" w:pos="240"/>
        <w:tab w:val="left" w:pos="480"/>
        <w:tab w:val="left" w:pos="720"/>
        <w:tab w:val="left" w:pos="965"/>
        <w:tab w:val="right" w:leader="dot" w:pos="4320"/>
      </w:tabs>
    </w:pPr>
  </w:style>
  <w:style w:type="paragraph" w:styleId="FootnoteText">
    <w:name w:val="footnote text"/>
    <w:basedOn w:val="Normal"/>
    <w:rsid w:val="005B5A36"/>
    <w:rPr>
      <w:rFonts w:ascii="Times New Roman" w:hAnsi="Times New Roman"/>
      <w:szCs w:val="24"/>
    </w:rPr>
  </w:style>
  <w:style w:type="character" w:styleId="FootnoteReference">
    <w:name w:val="footnote reference"/>
    <w:rsid w:val="005B5A36"/>
    <w:rPr>
      <w:vertAlign w:val="superscript"/>
    </w:rPr>
  </w:style>
  <w:style w:type="paragraph" w:customStyle="1" w:styleId="ADVPLAN">
    <w:name w:val="ADVPLAN"/>
    <w:rsid w:val="00F51970"/>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pPr>
  </w:style>
  <w:style w:type="character" w:customStyle="1" w:styleId="PQChar">
    <w:name w:val="PQ Char"/>
    <w:link w:val="PQ"/>
    <w:rsid w:val="005B5A36"/>
    <w:rPr>
      <w:color w:val="000000"/>
    </w:rPr>
  </w:style>
  <w:style w:type="paragraph" w:styleId="HTMLPreformatted">
    <w:name w:val="HTML Preformatted"/>
    <w:basedOn w:val="Normal"/>
    <w:rsid w:val="00933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asicParagraph">
    <w:name w:val="[Basic Paragraph]"/>
    <w:basedOn w:val="Normal"/>
    <w:rsid w:val="00667467"/>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5B5A36"/>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5B5A36"/>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5B5A36"/>
    <w:pPr>
      <w:spacing w:after="240"/>
      <w:ind w:left="432" w:right="432" w:firstLine="432"/>
      <w:jc w:val="both"/>
    </w:pPr>
    <w:rPr>
      <w:rFonts w:ascii="Helvetica LT Std" w:hAnsi="Helvetica LT Std"/>
      <w:color w:val="000000"/>
      <w:sz w:val="24"/>
    </w:rPr>
  </w:style>
  <w:style w:type="paragraph" w:customStyle="1" w:styleId="PART">
    <w:name w:val="PART"/>
    <w:rsid w:val="005B5A36"/>
    <w:pPr>
      <w:spacing w:after="240"/>
      <w:jc w:val="center"/>
    </w:pPr>
    <w:rPr>
      <w:rFonts w:ascii="Tw Cen MT" w:eastAsia="Arial Unicode MS" w:hAnsi="Tw Cen MT"/>
      <w:b/>
      <w:caps/>
      <w:w w:val="110"/>
      <w:sz w:val="44"/>
      <w:szCs w:val="32"/>
    </w:rPr>
  </w:style>
  <w:style w:type="paragraph" w:styleId="BalloonText">
    <w:name w:val="Balloon Text"/>
    <w:basedOn w:val="Normal"/>
    <w:link w:val="BalloonTextChar"/>
    <w:rsid w:val="005B5A36"/>
    <w:rPr>
      <w:rFonts w:ascii="Tahoma" w:hAnsi="Tahoma" w:cs="Tahoma"/>
      <w:sz w:val="16"/>
      <w:szCs w:val="16"/>
    </w:rPr>
  </w:style>
  <w:style w:type="character" w:customStyle="1" w:styleId="BalloonTextChar">
    <w:name w:val="Balloon Text Char"/>
    <w:link w:val="BalloonText"/>
    <w:rsid w:val="005B5A36"/>
    <w:rPr>
      <w:rFonts w:ascii="Tahoma" w:hAnsi="Tahoma" w:cs="Tahoma"/>
      <w:sz w:val="16"/>
      <w:szCs w:val="16"/>
    </w:rPr>
  </w:style>
  <w:style w:type="character" w:styleId="Hyperlink">
    <w:name w:val="Hyperlink"/>
    <w:rsid w:val="005B5A36"/>
    <w:rPr>
      <w:color w:val="0000FF"/>
      <w:u w:val="single"/>
    </w:rPr>
  </w:style>
  <w:style w:type="paragraph" w:customStyle="1" w:styleId="Standard">
    <w:name w:val="Standard"/>
    <w:rsid w:val="005B5A36"/>
    <w:pPr>
      <w:spacing w:before="144" w:line="230" w:lineRule="auto"/>
      <w:jc w:val="both"/>
    </w:pPr>
    <w:rPr>
      <w:noProof/>
      <w:color w:val="000000"/>
    </w:rPr>
  </w:style>
  <w:style w:type="character" w:customStyle="1" w:styleId="PAChar">
    <w:name w:val="PA Char"/>
    <w:link w:val="PA"/>
    <w:rsid w:val="00957806"/>
    <w:rPr>
      <w:rFonts w:ascii="Helvetica LT Std" w:hAnsi="Helvetica LT Std"/>
      <w:color w:val="000000"/>
      <w:sz w:val="24"/>
    </w:rPr>
  </w:style>
  <w:style w:type="table" w:styleId="TableGrid">
    <w:name w:val="Table Grid"/>
    <w:basedOn w:val="TableNormal"/>
    <w:rsid w:val="0095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957806"/>
    <w:pPr>
      <w:tabs>
        <w:tab w:val="clear" w:pos="240"/>
        <w:tab w:val="clear" w:pos="480"/>
        <w:tab w:val="clear" w:pos="720"/>
        <w:tab w:val="right" w:pos="4680"/>
      </w:tabs>
    </w:pPr>
  </w:style>
  <w:style w:type="paragraph" w:customStyle="1" w:styleId="PCB">
    <w:name w:val="PCB"/>
    <w:basedOn w:val="PC"/>
    <w:rsid w:val="005B5A36"/>
    <w:pPr>
      <w:numPr>
        <w:numId w:val="23"/>
      </w:numPr>
    </w:pPr>
  </w:style>
  <w:style w:type="paragraph" w:customStyle="1" w:styleId="PFB">
    <w:name w:val="PFB"/>
    <w:rsid w:val="005B5A36"/>
    <w:pPr>
      <w:numPr>
        <w:numId w:val="24"/>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957806"/>
    <w:rPr>
      <w:rFonts w:ascii="Perpetua Std" w:hAnsi="Perpetua Std"/>
    </w:rPr>
  </w:style>
  <w:style w:type="paragraph" w:styleId="NoSpacing">
    <w:name w:val="No Spacing"/>
    <w:qFormat/>
    <w:rsid w:val="00957806"/>
    <w:rPr>
      <w:rFonts w:ascii="Perpetua" w:hAnsi="Perpetua"/>
    </w:rPr>
  </w:style>
  <w:style w:type="paragraph" w:customStyle="1" w:styleId="PCA">
    <w:name w:val="PCA"/>
    <w:rsid w:val="005B5A36"/>
    <w:pPr>
      <w:numPr>
        <w:numId w:val="20"/>
      </w:numPr>
      <w:tabs>
        <w:tab w:val="left" w:pos="720"/>
      </w:tabs>
      <w:spacing w:after="240"/>
      <w:jc w:val="both"/>
    </w:pPr>
    <w:rPr>
      <w:rFonts w:ascii="Helvetica LT Std" w:hAnsi="Helvetica LT Std"/>
      <w:sz w:val="24"/>
    </w:rPr>
  </w:style>
  <w:style w:type="paragraph" w:customStyle="1" w:styleId="PHB">
    <w:name w:val="PHB"/>
    <w:rsid w:val="005B5A36"/>
    <w:pPr>
      <w:numPr>
        <w:numId w:val="21"/>
      </w:numPr>
      <w:spacing w:after="240"/>
      <w:jc w:val="both"/>
    </w:pPr>
    <w:rPr>
      <w:rFonts w:ascii="Helvetica LT Std" w:hAnsi="Helvetica LT Std"/>
      <w:sz w:val="24"/>
    </w:rPr>
  </w:style>
  <w:style w:type="character" w:customStyle="1" w:styleId="IndexChar">
    <w:name w:val="Index Char"/>
    <w:link w:val="Index"/>
    <w:rsid w:val="00957806"/>
    <w:rPr>
      <w:rFonts w:ascii="Helvetica LT Std" w:eastAsia="MS Mincho" w:hAnsi="Helvetica LT Std"/>
      <w:color w:val="000000"/>
      <w:sz w:val="24"/>
    </w:rPr>
  </w:style>
  <w:style w:type="character" w:styleId="Emphasis">
    <w:name w:val="Emphasis"/>
    <w:qFormat/>
    <w:rsid w:val="005B5A36"/>
    <w:rPr>
      <w:b/>
      <w:bCs/>
      <w:i w:val="0"/>
      <w:iCs w:val="0"/>
    </w:rPr>
  </w:style>
  <w:style w:type="paragraph" w:customStyle="1" w:styleId="BHead">
    <w:name w:val="BHead"/>
    <w:rsid w:val="005B5A36"/>
    <w:pPr>
      <w:spacing w:before="288"/>
    </w:pPr>
    <w:rPr>
      <w:b/>
      <w:sz w:val="26"/>
    </w:rPr>
  </w:style>
  <w:style w:type="paragraph" w:customStyle="1" w:styleId="AHead">
    <w:name w:val="AHead"/>
    <w:rsid w:val="005B5A36"/>
    <w:pPr>
      <w:jc w:val="center"/>
    </w:pPr>
    <w:rPr>
      <w:b/>
      <w:caps/>
      <w:noProof/>
      <w:sz w:val="28"/>
    </w:rPr>
  </w:style>
  <w:style w:type="paragraph" w:customStyle="1" w:styleId="Style2">
    <w:name w:val="Style2"/>
    <w:basedOn w:val="Header"/>
    <w:rsid w:val="005B5A36"/>
    <w:pPr>
      <w:tabs>
        <w:tab w:val="clear" w:pos="4320"/>
        <w:tab w:val="clear" w:pos="8640"/>
      </w:tabs>
      <w:ind w:left="907" w:right="792"/>
      <w:jc w:val="both"/>
    </w:pPr>
    <w:rPr>
      <w:b/>
      <w:sz w:val="20"/>
      <w:szCs w:val="20"/>
    </w:rPr>
  </w:style>
  <w:style w:type="paragraph" w:styleId="NormalWeb">
    <w:name w:val="Normal (Web)"/>
    <w:basedOn w:val="Normal"/>
    <w:rsid w:val="005B5A36"/>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5B5A36"/>
  </w:style>
  <w:style w:type="character" w:customStyle="1" w:styleId="EndnoteTextChar">
    <w:name w:val="Endnote Text Char"/>
    <w:link w:val="EndnoteText"/>
    <w:rsid w:val="00957806"/>
    <w:rPr>
      <w:rFonts w:ascii="Perpetua" w:hAnsi="Perpetua"/>
    </w:rPr>
  </w:style>
  <w:style w:type="character" w:styleId="EndnoteReference">
    <w:name w:val="endnote reference"/>
    <w:rsid w:val="005B5A36"/>
    <w:rPr>
      <w:vertAlign w:val="superscript"/>
    </w:rPr>
  </w:style>
  <w:style w:type="character" w:customStyle="1" w:styleId="EmailStyle611">
    <w:name w:val="EmailStyle611"/>
    <w:rsid w:val="005B5A36"/>
    <w:rPr>
      <w:rFonts w:ascii="Arial" w:hAnsi="Arial" w:cs="Arial"/>
      <w:color w:val="auto"/>
      <w:sz w:val="20"/>
      <w:szCs w:val="20"/>
    </w:rPr>
  </w:style>
  <w:style w:type="character" w:customStyle="1" w:styleId="pa-h2">
    <w:name w:val="pa-h2"/>
    <w:rsid w:val="005B5A36"/>
    <w:rPr>
      <w:rFonts w:ascii="Helvetica LT Std" w:hAnsi="Helvetica LT Std" w:hint="default"/>
      <w:color w:val="000000"/>
      <w:sz w:val="24"/>
      <w:szCs w:val="24"/>
    </w:rPr>
  </w:style>
  <w:style w:type="character" w:customStyle="1" w:styleId="HeaderChar">
    <w:name w:val="Header Char"/>
    <w:link w:val="Header"/>
    <w:rsid w:val="005B5A36"/>
    <w:rPr>
      <w:sz w:val="24"/>
      <w:szCs w:val="24"/>
    </w:rPr>
  </w:style>
  <w:style w:type="character" w:customStyle="1" w:styleId="FooterChar">
    <w:name w:val="Footer Char"/>
    <w:link w:val="Footer"/>
    <w:rsid w:val="005B5A36"/>
    <w:rPr>
      <w:sz w:val="24"/>
      <w:szCs w:val="24"/>
    </w:rPr>
  </w:style>
  <w:style w:type="paragraph" w:styleId="Subtitle">
    <w:name w:val="Subtitle"/>
    <w:basedOn w:val="Normal"/>
    <w:link w:val="SubtitleChar"/>
    <w:qFormat/>
    <w:rsid w:val="005B5A36"/>
    <w:pPr>
      <w:keepNext/>
      <w:spacing w:after="240"/>
    </w:pPr>
    <w:rPr>
      <w:rFonts w:ascii="Times New Roman" w:hAnsi="Times New Roman" w:cs="Arial"/>
      <w:b/>
      <w:sz w:val="24"/>
      <w:szCs w:val="24"/>
    </w:rPr>
  </w:style>
  <w:style w:type="character" w:customStyle="1" w:styleId="SubtitleChar">
    <w:name w:val="Subtitle Char"/>
    <w:link w:val="Subtitle"/>
    <w:rsid w:val="005B5A36"/>
    <w:rPr>
      <w:rFonts w:cs="Arial"/>
      <w:b/>
      <w:sz w:val="24"/>
      <w:szCs w:val="24"/>
    </w:rPr>
  </w:style>
  <w:style w:type="character" w:customStyle="1" w:styleId="PlainTextChar">
    <w:name w:val="Plain Text Char"/>
    <w:link w:val="PlainText"/>
    <w:rsid w:val="005B5A36"/>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B5A36"/>
    <w:rPr>
      <w:rFonts w:ascii="Perpetua" w:hAnsi="Perpetua"/>
    </w:rPr>
  </w:style>
  <w:style w:type="paragraph" w:styleId="Heading1">
    <w:name w:val="heading 1"/>
    <w:basedOn w:val="Normal"/>
    <w:next w:val="Normal"/>
    <w:qFormat/>
    <w:rsid w:val="005B5A36"/>
    <w:pPr>
      <w:keepNext/>
      <w:outlineLvl w:val="0"/>
    </w:pPr>
    <w:rPr>
      <w:b/>
    </w:rPr>
  </w:style>
  <w:style w:type="paragraph" w:styleId="Heading2">
    <w:name w:val="heading 2"/>
    <w:basedOn w:val="Normal"/>
    <w:next w:val="Normal"/>
    <w:qFormat/>
    <w:rsid w:val="005B5A36"/>
    <w:pPr>
      <w:keepNext/>
      <w:spacing w:before="240" w:after="60"/>
      <w:outlineLvl w:val="1"/>
    </w:pPr>
    <w:rPr>
      <w:rFonts w:ascii="Arial" w:hAnsi="Arial"/>
      <w:b/>
      <w:i/>
      <w:sz w:val="24"/>
    </w:rPr>
  </w:style>
  <w:style w:type="paragraph" w:styleId="Heading3">
    <w:name w:val="heading 3"/>
    <w:basedOn w:val="Normal"/>
    <w:next w:val="Normal"/>
    <w:qFormat/>
    <w:rsid w:val="005B5A3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5B5A36"/>
    <w:pPr>
      <w:spacing w:after="240"/>
      <w:ind w:firstLine="288"/>
      <w:jc w:val="both"/>
    </w:pPr>
    <w:rPr>
      <w:rFonts w:ascii="Helvetica LT Std" w:hAnsi="Helvetica LT Std"/>
      <w:color w:val="000000"/>
      <w:sz w:val="24"/>
    </w:rPr>
  </w:style>
  <w:style w:type="paragraph" w:styleId="PlainText">
    <w:name w:val="Plain Text"/>
    <w:basedOn w:val="Normal"/>
    <w:link w:val="PlainTextChar"/>
    <w:rsid w:val="005B5A36"/>
    <w:rPr>
      <w:rFonts w:ascii="Courier New" w:hAnsi="Courier New" w:cs="Courier New"/>
      <w:sz w:val="24"/>
      <w:szCs w:val="24"/>
    </w:rPr>
  </w:style>
  <w:style w:type="paragraph" w:customStyle="1" w:styleId="QU">
    <w:name w:val="QU"/>
    <w:rsid w:val="005B5A36"/>
    <w:pPr>
      <w:spacing w:after="240"/>
      <w:jc w:val="both"/>
    </w:pPr>
    <w:rPr>
      <w:rFonts w:ascii="Helvetica LT Std" w:hAnsi="Helvetica LT Std"/>
      <w:b/>
      <w:color w:val="000080"/>
      <w:sz w:val="24"/>
    </w:rPr>
  </w:style>
  <w:style w:type="paragraph" w:customStyle="1" w:styleId="PD">
    <w:name w:val="PD"/>
    <w:rsid w:val="005B5A36"/>
    <w:pPr>
      <w:spacing w:after="240"/>
      <w:ind w:left="720" w:firstLine="288"/>
      <w:jc w:val="both"/>
    </w:pPr>
    <w:rPr>
      <w:rFonts w:ascii="Helvetica LT Std" w:hAnsi="Helvetica LT Std"/>
      <w:color w:val="000000"/>
      <w:sz w:val="24"/>
    </w:rPr>
  </w:style>
  <w:style w:type="paragraph" w:customStyle="1" w:styleId="HA">
    <w:name w:val="HA"/>
    <w:rsid w:val="005B5A36"/>
    <w:pPr>
      <w:spacing w:after="240"/>
      <w:jc w:val="center"/>
    </w:pPr>
    <w:rPr>
      <w:rFonts w:ascii="Helvetica LT Std" w:hAnsi="Helvetica LT Std"/>
      <w:b/>
      <w:caps/>
      <w:w w:val="110"/>
      <w:sz w:val="36"/>
      <w:szCs w:val="32"/>
    </w:rPr>
  </w:style>
  <w:style w:type="paragraph" w:customStyle="1" w:styleId="PB">
    <w:name w:val="PB"/>
    <w:rsid w:val="005B5A36"/>
    <w:pPr>
      <w:spacing w:after="240"/>
      <w:jc w:val="both"/>
    </w:pPr>
    <w:rPr>
      <w:rFonts w:ascii="Helvetica LT Std" w:hAnsi="Helvetica LT Std"/>
      <w:color w:val="000000"/>
      <w:sz w:val="24"/>
    </w:rPr>
  </w:style>
  <w:style w:type="paragraph" w:customStyle="1" w:styleId="PC">
    <w:name w:val="PC"/>
    <w:rsid w:val="005B5A36"/>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5B5A36"/>
    <w:pPr>
      <w:spacing w:before="120" w:after="240"/>
      <w:jc w:val="center"/>
    </w:pPr>
    <w:rPr>
      <w:rFonts w:ascii="Helvetica LT Std" w:hAnsi="Helvetica LT Std"/>
      <w:b/>
      <w:color w:val="000080"/>
      <w:w w:val="105"/>
      <w:sz w:val="32"/>
    </w:rPr>
  </w:style>
  <w:style w:type="paragraph" w:customStyle="1" w:styleId="HC">
    <w:name w:val="HC"/>
    <w:rsid w:val="005B5A36"/>
    <w:pPr>
      <w:tabs>
        <w:tab w:val="left" w:pos="284"/>
      </w:tabs>
      <w:spacing w:before="120" w:after="120"/>
      <w:jc w:val="center"/>
    </w:pPr>
    <w:rPr>
      <w:rFonts w:ascii="Helvetica LT Std" w:hAnsi="Helvetica LT Std"/>
      <w:b/>
      <w:color w:val="333333"/>
      <w:w w:val="110"/>
      <w:sz w:val="28"/>
    </w:rPr>
  </w:style>
  <w:style w:type="paragraph" w:customStyle="1" w:styleId="PH">
    <w:name w:val="PH"/>
    <w:rsid w:val="005B5A36"/>
    <w:pPr>
      <w:tabs>
        <w:tab w:val="left" w:pos="360"/>
      </w:tabs>
      <w:spacing w:after="240"/>
      <w:ind w:left="360" w:hanging="360"/>
      <w:jc w:val="both"/>
    </w:pPr>
    <w:rPr>
      <w:rFonts w:ascii="Helvetica LT Std" w:hAnsi="Helvetica LT Std"/>
      <w:color w:val="000000"/>
      <w:sz w:val="24"/>
    </w:rPr>
  </w:style>
  <w:style w:type="character" w:styleId="PageNumber">
    <w:name w:val="page number"/>
    <w:rsid w:val="005B5A36"/>
  </w:style>
  <w:style w:type="paragraph" w:customStyle="1" w:styleId="HD">
    <w:name w:val="HD"/>
    <w:rsid w:val="005B5A36"/>
    <w:pPr>
      <w:spacing w:before="120" w:after="120"/>
      <w:jc w:val="center"/>
    </w:pPr>
    <w:rPr>
      <w:rFonts w:ascii="Helvetica LT Std" w:hAnsi="Helvetica LT Std"/>
      <w:b/>
      <w:w w:val="90"/>
      <w:sz w:val="26"/>
    </w:rPr>
  </w:style>
  <w:style w:type="paragraph" w:customStyle="1" w:styleId="HE">
    <w:name w:val="HE"/>
    <w:rsid w:val="005B5A36"/>
    <w:pPr>
      <w:spacing w:before="120" w:after="120"/>
      <w:jc w:val="center"/>
    </w:pPr>
    <w:rPr>
      <w:rFonts w:ascii="Helvetica LT Std" w:hAnsi="Helvetica LT Std"/>
      <w:b/>
      <w:sz w:val="24"/>
    </w:rPr>
  </w:style>
  <w:style w:type="paragraph" w:customStyle="1" w:styleId="PI">
    <w:name w:val="PI"/>
    <w:rsid w:val="005B5A36"/>
    <w:pPr>
      <w:spacing w:after="240"/>
      <w:ind w:left="360" w:hanging="360"/>
      <w:jc w:val="both"/>
    </w:pPr>
    <w:rPr>
      <w:rFonts w:ascii="Helvetica LT Std" w:hAnsi="Helvetica LT Std"/>
      <w:color w:val="000000"/>
      <w:sz w:val="24"/>
    </w:rPr>
  </w:style>
  <w:style w:type="paragraph" w:customStyle="1" w:styleId="PE">
    <w:name w:val="PE"/>
    <w:rsid w:val="005B5A36"/>
    <w:pPr>
      <w:spacing w:after="240"/>
      <w:ind w:left="720"/>
      <w:jc w:val="both"/>
    </w:pPr>
    <w:rPr>
      <w:rFonts w:ascii="Helvetica LT Std" w:hAnsi="Helvetica LT Std"/>
      <w:color w:val="000000"/>
      <w:sz w:val="24"/>
    </w:rPr>
  </w:style>
  <w:style w:type="paragraph" w:customStyle="1" w:styleId="PG">
    <w:name w:val="PG"/>
    <w:rsid w:val="005B5A36"/>
    <w:pPr>
      <w:spacing w:after="240"/>
      <w:ind w:left="360"/>
      <w:jc w:val="both"/>
    </w:pPr>
    <w:rPr>
      <w:rFonts w:ascii="Helvetica LT Std" w:hAnsi="Helvetica LT Std"/>
      <w:color w:val="000000"/>
      <w:sz w:val="24"/>
    </w:rPr>
  </w:style>
  <w:style w:type="paragraph" w:customStyle="1" w:styleId="HF">
    <w:name w:val="HF"/>
    <w:rsid w:val="005B5A36"/>
    <w:pPr>
      <w:spacing w:before="120" w:after="120"/>
      <w:jc w:val="center"/>
    </w:pPr>
    <w:rPr>
      <w:rFonts w:ascii="Tw Cen MT" w:hAnsi="Tw Cen MT"/>
      <w:b/>
    </w:rPr>
  </w:style>
  <w:style w:type="paragraph" w:customStyle="1" w:styleId="PF">
    <w:name w:val="PF"/>
    <w:rsid w:val="005B5A36"/>
    <w:pPr>
      <w:tabs>
        <w:tab w:val="left" w:pos="1080"/>
      </w:tabs>
      <w:spacing w:after="240"/>
      <w:ind w:left="1080" w:hanging="360"/>
      <w:jc w:val="both"/>
    </w:pPr>
    <w:rPr>
      <w:rFonts w:ascii="Helvetica LT Std" w:hAnsi="Helvetica LT Std"/>
      <w:color w:val="000000"/>
      <w:sz w:val="24"/>
    </w:rPr>
  </w:style>
  <w:style w:type="paragraph" w:customStyle="1" w:styleId="PK">
    <w:name w:val="PK"/>
    <w:rsid w:val="005B5A36"/>
    <w:pPr>
      <w:spacing w:after="240"/>
      <w:ind w:left="360" w:firstLine="288"/>
      <w:jc w:val="both"/>
    </w:pPr>
    <w:rPr>
      <w:rFonts w:ascii="Helvetica LT Std" w:hAnsi="Helvetica LT Std"/>
      <w:color w:val="000000"/>
      <w:sz w:val="24"/>
    </w:rPr>
  </w:style>
  <w:style w:type="paragraph" w:customStyle="1" w:styleId="PQ">
    <w:name w:val="PQ"/>
    <w:link w:val="PQChar"/>
    <w:rsid w:val="005B5A36"/>
    <w:pPr>
      <w:tabs>
        <w:tab w:val="left" w:pos="360"/>
      </w:tabs>
      <w:spacing w:after="120"/>
      <w:ind w:left="360" w:hanging="360"/>
      <w:jc w:val="both"/>
    </w:pPr>
    <w:rPr>
      <w:color w:val="000000"/>
    </w:rPr>
  </w:style>
  <w:style w:type="paragraph" w:customStyle="1" w:styleId="PR">
    <w:name w:val="PR"/>
    <w:rsid w:val="005B5A36"/>
    <w:pPr>
      <w:spacing w:after="240"/>
      <w:ind w:left="360" w:firstLine="288"/>
      <w:jc w:val="both"/>
    </w:pPr>
    <w:rPr>
      <w:color w:val="000000"/>
    </w:rPr>
  </w:style>
  <w:style w:type="paragraph" w:customStyle="1" w:styleId="EXAMPLE">
    <w:name w:val="EXAMPLE"/>
    <w:rsid w:val="005B5A36"/>
    <w:pPr>
      <w:pBdr>
        <w:top w:val="single" w:sz="4" w:space="1" w:color="auto"/>
        <w:bottom w:val="single" w:sz="4" w:space="1" w:color="auto"/>
      </w:pBdr>
      <w:spacing w:before="120" w:after="120"/>
      <w:ind w:left="360" w:right="360" w:firstLine="288"/>
      <w:jc w:val="both"/>
    </w:pPr>
  </w:style>
  <w:style w:type="paragraph" w:customStyle="1" w:styleId="EXAMPLE1">
    <w:name w:val="EXAMPLE1"/>
    <w:rsid w:val="005B5A36"/>
    <w:pPr>
      <w:pBdr>
        <w:top w:val="single" w:sz="4" w:space="1" w:color="auto"/>
      </w:pBdr>
      <w:spacing w:before="120" w:after="120"/>
      <w:ind w:left="360" w:right="360" w:firstLine="288"/>
      <w:jc w:val="both"/>
    </w:pPr>
  </w:style>
  <w:style w:type="paragraph" w:customStyle="1" w:styleId="EXAMPLE2">
    <w:name w:val="EXAMPLE2"/>
    <w:rsid w:val="005B5A36"/>
    <w:pPr>
      <w:spacing w:before="120" w:after="120"/>
      <w:ind w:left="360" w:right="360" w:firstLine="288"/>
      <w:jc w:val="both"/>
    </w:pPr>
  </w:style>
  <w:style w:type="paragraph" w:customStyle="1" w:styleId="EXAMPLE3">
    <w:name w:val="EXAMPLE3"/>
    <w:rsid w:val="005B5A36"/>
    <w:pPr>
      <w:pBdr>
        <w:bottom w:val="single" w:sz="4" w:space="1" w:color="auto"/>
      </w:pBdr>
      <w:spacing w:before="120" w:after="120"/>
      <w:ind w:left="360" w:right="360" w:firstLine="288"/>
      <w:jc w:val="both"/>
    </w:pPr>
  </w:style>
  <w:style w:type="paragraph" w:customStyle="1" w:styleId="PS">
    <w:name w:val="PS"/>
    <w:rsid w:val="005B5A36"/>
    <w:pPr>
      <w:ind w:left="360"/>
      <w:jc w:val="both"/>
    </w:pPr>
    <w:rPr>
      <w:color w:val="000000"/>
    </w:rPr>
  </w:style>
  <w:style w:type="paragraph" w:customStyle="1" w:styleId="PN">
    <w:name w:val="PN"/>
    <w:rsid w:val="005B5A36"/>
    <w:pPr>
      <w:spacing w:after="240"/>
      <w:ind w:left="720" w:firstLine="288"/>
      <w:jc w:val="both"/>
    </w:pPr>
    <w:rPr>
      <w:rFonts w:ascii="Helvetica LT Std" w:eastAsia="MS Mincho" w:hAnsi="Helvetica LT Std"/>
      <w:color w:val="000000"/>
    </w:rPr>
  </w:style>
  <w:style w:type="paragraph" w:customStyle="1" w:styleId="TOC">
    <w:name w:val="TOC"/>
    <w:rsid w:val="005B5A36"/>
    <w:pPr>
      <w:tabs>
        <w:tab w:val="left" w:leader="dot" w:pos="6984"/>
      </w:tabs>
      <w:ind w:left="720" w:hanging="720"/>
    </w:pPr>
    <w:rPr>
      <w:rFonts w:ascii="Helvetica LT Std" w:eastAsia="MS Mincho" w:hAnsi="Helvetica LT Std"/>
      <w:color w:val="000000"/>
      <w:sz w:val="24"/>
    </w:rPr>
  </w:style>
  <w:style w:type="paragraph" w:customStyle="1" w:styleId="PP">
    <w:name w:val="PP"/>
    <w:rsid w:val="005B5A36"/>
    <w:pPr>
      <w:pBdr>
        <w:top w:val="single" w:sz="4" w:space="1" w:color="auto"/>
        <w:bottom w:val="single" w:sz="4" w:space="1" w:color="auto"/>
      </w:pBdr>
      <w:spacing w:after="240"/>
      <w:jc w:val="both"/>
    </w:pPr>
    <w:rPr>
      <w:color w:val="000000"/>
      <w:sz w:val="24"/>
    </w:rPr>
  </w:style>
  <w:style w:type="paragraph" w:customStyle="1" w:styleId="PO">
    <w:name w:val="PO"/>
    <w:rsid w:val="005B5A36"/>
    <w:pPr>
      <w:spacing w:after="240"/>
      <w:jc w:val="both"/>
    </w:pPr>
    <w:rPr>
      <w:rFonts w:ascii="Helvetica LT Std" w:hAnsi="Helvetica LT Std"/>
      <w:color w:val="000000"/>
      <w:w w:val="95"/>
      <w:szCs w:val="16"/>
    </w:rPr>
  </w:style>
  <w:style w:type="paragraph" w:styleId="Header">
    <w:name w:val="header"/>
    <w:basedOn w:val="Normal"/>
    <w:link w:val="HeaderChar"/>
    <w:rsid w:val="005B5A36"/>
    <w:pPr>
      <w:tabs>
        <w:tab w:val="center" w:pos="4320"/>
        <w:tab w:val="right" w:pos="8640"/>
      </w:tabs>
    </w:pPr>
    <w:rPr>
      <w:rFonts w:ascii="Times New Roman" w:hAnsi="Times New Roman"/>
      <w:sz w:val="24"/>
      <w:szCs w:val="24"/>
    </w:rPr>
  </w:style>
  <w:style w:type="paragraph" w:styleId="Footer">
    <w:name w:val="footer"/>
    <w:basedOn w:val="Normal"/>
    <w:link w:val="FooterChar"/>
    <w:rsid w:val="005B5A36"/>
    <w:pPr>
      <w:tabs>
        <w:tab w:val="center" w:pos="4320"/>
        <w:tab w:val="right" w:pos="8640"/>
      </w:tabs>
    </w:pPr>
    <w:rPr>
      <w:rFonts w:ascii="Times New Roman" w:hAnsi="Times New Roman"/>
      <w:sz w:val="24"/>
      <w:szCs w:val="24"/>
    </w:rPr>
  </w:style>
  <w:style w:type="paragraph" w:styleId="Caption">
    <w:name w:val="caption"/>
    <w:basedOn w:val="Normal"/>
    <w:next w:val="Normal"/>
    <w:qFormat/>
    <w:rsid w:val="005B5A36"/>
    <w:pPr>
      <w:jc w:val="right"/>
    </w:pPr>
    <w:rPr>
      <w:rFonts w:ascii="Arial" w:hAnsi="Arial"/>
      <w:b/>
      <w:sz w:val="24"/>
      <w:szCs w:val="24"/>
    </w:rPr>
  </w:style>
  <w:style w:type="paragraph" w:customStyle="1" w:styleId="GUIDEX">
    <w:name w:val="GUIDEX"/>
    <w:rsid w:val="005B5A36"/>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5B5A36"/>
    <w:pPr>
      <w:tabs>
        <w:tab w:val="clear" w:pos="6984"/>
        <w:tab w:val="left" w:pos="240"/>
        <w:tab w:val="left" w:pos="480"/>
        <w:tab w:val="left" w:pos="720"/>
        <w:tab w:val="left" w:pos="965"/>
        <w:tab w:val="right" w:leader="dot" w:pos="4320"/>
      </w:tabs>
    </w:pPr>
  </w:style>
  <w:style w:type="paragraph" w:styleId="FootnoteText">
    <w:name w:val="footnote text"/>
    <w:basedOn w:val="Normal"/>
    <w:rsid w:val="005B5A36"/>
    <w:rPr>
      <w:rFonts w:ascii="Times New Roman" w:hAnsi="Times New Roman"/>
      <w:szCs w:val="24"/>
    </w:rPr>
  </w:style>
  <w:style w:type="character" w:styleId="FootnoteReference">
    <w:name w:val="footnote reference"/>
    <w:rsid w:val="005B5A36"/>
    <w:rPr>
      <w:vertAlign w:val="superscript"/>
    </w:rPr>
  </w:style>
  <w:style w:type="paragraph" w:customStyle="1" w:styleId="ADVPLAN">
    <w:name w:val="ADVPLAN"/>
    <w:rsid w:val="00F51970"/>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pPr>
  </w:style>
  <w:style w:type="character" w:customStyle="1" w:styleId="PQChar">
    <w:name w:val="PQ Char"/>
    <w:link w:val="PQ"/>
    <w:rsid w:val="005B5A36"/>
    <w:rPr>
      <w:color w:val="000000"/>
    </w:rPr>
  </w:style>
  <w:style w:type="paragraph" w:styleId="HTMLPreformatted">
    <w:name w:val="HTML Preformatted"/>
    <w:basedOn w:val="Normal"/>
    <w:rsid w:val="00933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asicParagraph">
    <w:name w:val="[Basic Paragraph]"/>
    <w:basedOn w:val="Normal"/>
    <w:rsid w:val="00667467"/>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5B5A36"/>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5B5A36"/>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5B5A36"/>
    <w:pPr>
      <w:spacing w:after="240"/>
      <w:ind w:left="432" w:right="432" w:firstLine="432"/>
      <w:jc w:val="both"/>
    </w:pPr>
    <w:rPr>
      <w:rFonts w:ascii="Helvetica LT Std" w:hAnsi="Helvetica LT Std"/>
      <w:color w:val="000000"/>
      <w:sz w:val="24"/>
    </w:rPr>
  </w:style>
  <w:style w:type="paragraph" w:customStyle="1" w:styleId="PART">
    <w:name w:val="PART"/>
    <w:rsid w:val="005B5A36"/>
    <w:pPr>
      <w:spacing w:after="240"/>
      <w:jc w:val="center"/>
    </w:pPr>
    <w:rPr>
      <w:rFonts w:ascii="Tw Cen MT" w:eastAsia="Arial Unicode MS" w:hAnsi="Tw Cen MT"/>
      <w:b/>
      <w:caps/>
      <w:w w:val="110"/>
      <w:sz w:val="44"/>
      <w:szCs w:val="32"/>
    </w:rPr>
  </w:style>
  <w:style w:type="paragraph" w:styleId="BalloonText">
    <w:name w:val="Balloon Text"/>
    <w:basedOn w:val="Normal"/>
    <w:link w:val="BalloonTextChar"/>
    <w:rsid w:val="005B5A36"/>
    <w:rPr>
      <w:rFonts w:ascii="Tahoma" w:hAnsi="Tahoma" w:cs="Tahoma"/>
      <w:sz w:val="16"/>
      <w:szCs w:val="16"/>
    </w:rPr>
  </w:style>
  <w:style w:type="character" w:customStyle="1" w:styleId="BalloonTextChar">
    <w:name w:val="Balloon Text Char"/>
    <w:link w:val="BalloonText"/>
    <w:rsid w:val="005B5A36"/>
    <w:rPr>
      <w:rFonts w:ascii="Tahoma" w:hAnsi="Tahoma" w:cs="Tahoma"/>
      <w:sz w:val="16"/>
      <w:szCs w:val="16"/>
    </w:rPr>
  </w:style>
  <w:style w:type="character" w:styleId="Hyperlink">
    <w:name w:val="Hyperlink"/>
    <w:rsid w:val="005B5A36"/>
    <w:rPr>
      <w:color w:val="0000FF"/>
      <w:u w:val="single"/>
    </w:rPr>
  </w:style>
  <w:style w:type="paragraph" w:customStyle="1" w:styleId="Standard">
    <w:name w:val="Standard"/>
    <w:rsid w:val="005B5A36"/>
    <w:pPr>
      <w:spacing w:before="144" w:line="230" w:lineRule="auto"/>
      <w:jc w:val="both"/>
    </w:pPr>
    <w:rPr>
      <w:noProof/>
      <w:color w:val="000000"/>
    </w:rPr>
  </w:style>
  <w:style w:type="character" w:customStyle="1" w:styleId="PAChar">
    <w:name w:val="PA Char"/>
    <w:link w:val="PA"/>
    <w:rsid w:val="00957806"/>
    <w:rPr>
      <w:rFonts w:ascii="Helvetica LT Std" w:hAnsi="Helvetica LT Std"/>
      <w:color w:val="000000"/>
      <w:sz w:val="24"/>
    </w:rPr>
  </w:style>
  <w:style w:type="table" w:styleId="TableGrid">
    <w:name w:val="Table Grid"/>
    <w:basedOn w:val="TableNormal"/>
    <w:rsid w:val="0095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957806"/>
    <w:pPr>
      <w:tabs>
        <w:tab w:val="clear" w:pos="240"/>
        <w:tab w:val="clear" w:pos="480"/>
        <w:tab w:val="clear" w:pos="720"/>
        <w:tab w:val="right" w:pos="4680"/>
      </w:tabs>
    </w:pPr>
  </w:style>
  <w:style w:type="paragraph" w:customStyle="1" w:styleId="PCB">
    <w:name w:val="PCB"/>
    <w:basedOn w:val="PC"/>
    <w:rsid w:val="005B5A36"/>
    <w:pPr>
      <w:numPr>
        <w:numId w:val="23"/>
      </w:numPr>
    </w:pPr>
  </w:style>
  <w:style w:type="paragraph" w:customStyle="1" w:styleId="PFB">
    <w:name w:val="PFB"/>
    <w:rsid w:val="005B5A36"/>
    <w:pPr>
      <w:numPr>
        <w:numId w:val="24"/>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957806"/>
    <w:rPr>
      <w:rFonts w:ascii="Perpetua Std" w:hAnsi="Perpetua Std"/>
    </w:rPr>
  </w:style>
  <w:style w:type="paragraph" w:styleId="NoSpacing">
    <w:name w:val="No Spacing"/>
    <w:qFormat/>
    <w:rsid w:val="00957806"/>
    <w:rPr>
      <w:rFonts w:ascii="Perpetua" w:hAnsi="Perpetua"/>
    </w:rPr>
  </w:style>
  <w:style w:type="paragraph" w:customStyle="1" w:styleId="PCA">
    <w:name w:val="PCA"/>
    <w:rsid w:val="005B5A36"/>
    <w:pPr>
      <w:numPr>
        <w:numId w:val="20"/>
      </w:numPr>
      <w:tabs>
        <w:tab w:val="left" w:pos="720"/>
      </w:tabs>
      <w:spacing w:after="240"/>
      <w:jc w:val="both"/>
    </w:pPr>
    <w:rPr>
      <w:rFonts w:ascii="Helvetica LT Std" w:hAnsi="Helvetica LT Std"/>
      <w:sz w:val="24"/>
    </w:rPr>
  </w:style>
  <w:style w:type="paragraph" w:customStyle="1" w:styleId="PHB">
    <w:name w:val="PHB"/>
    <w:rsid w:val="005B5A36"/>
    <w:pPr>
      <w:numPr>
        <w:numId w:val="21"/>
      </w:numPr>
      <w:spacing w:after="240"/>
      <w:jc w:val="both"/>
    </w:pPr>
    <w:rPr>
      <w:rFonts w:ascii="Helvetica LT Std" w:hAnsi="Helvetica LT Std"/>
      <w:sz w:val="24"/>
    </w:rPr>
  </w:style>
  <w:style w:type="character" w:customStyle="1" w:styleId="IndexChar">
    <w:name w:val="Index Char"/>
    <w:link w:val="Index"/>
    <w:rsid w:val="00957806"/>
    <w:rPr>
      <w:rFonts w:ascii="Helvetica LT Std" w:eastAsia="MS Mincho" w:hAnsi="Helvetica LT Std"/>
      <w:color w:val="000000"/>
      <w:sz w:val="24"/>
    </w:rPr>
  </w:style>
  <w:style w:type="character" w:styleId="Emphasis">
    <w:name w:val="Emphasis"/>
    <w:qFormat/>
    <w:rsid w:val="005B5A36"/>
    <w:rPr>
      <w:b/>
      <w:bCs/>
      <w:i w:val="0"/>
      <w:iCs w:val="0"/>
    </w:rPr>
  </w:style>
  <w:style w:type="paragraph" w:customStyle="1" w:styleId="BHead">
    <w:name w:val="BHead"/>
    <w:rsid w:val="005B5A36"/>
    <w:pPr>
      <w:spacing w:before="288"/>
    </w:pPr>
    <w:rPr>
      <w:b/>
      <w:sz w:val="26"/>
    </w:rPr>
  </w:style>
  <w:style w:type="paragraph" w:customStyle="1" w:styleId="AHead">
    <w:name w:val="AHead"/>
    <w:rsid w:val="005B5A36"/>
    <w:pPr>
      <w:jc w:val="center"/>
    </w:pPr>
    <w:rPr>
      <w:b/>
      <w:caps/>
      <w:noProof/>
      <w:sz w:val="28"/>
    </w:rPr>
  </w:style>
  <w:style w:type="paragraph" w:customStyle="1" w:styleId="Style2">
    <w:name w:val="Style2"/>
    <w:basedOn w:val="Header"/>
    <w:rsid w:val="005B5A36"/>
    <w:pPr>
      <w:tabs>
        <w:tab w:val="clear" w:pos="4320"/>
        <w:tab w:val="clear" w:pos="8640"/>
      </w:tabs>
      <w:ind w:left="907" w:right="792"/>
      <w:jc w:val="both"/>
    </w:pPr>
    <w:rPr>
      <w:b/>
      <w:sz w:val="20"/>
      <w:szCs w:val="20"/>
    </w:rPr>
  </w:style>
  <w:style w:type="paragraph" w:styleId="NormalWeb">
    <w:name w:val="Normal (Web)"/>
    <w:basedOn w:val="Normal"/>
    <w:rsid w:val="005B5A36"/>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5B5A36"/>
  </w:style>
  <w:style w:type="character" w:customStyle="1" w:styleId="EndnoteTextChar">
    <w:name w:val="Endnote Text Char"/>
    <w:link w:val="EndnoteText"/>
    <w:rsid w:val="00957806"/>
    <w:rPr>
      <w:rFonts w:ascii="Perpetua" w:hAnsi="Perpetua"/>
    </w:rPr>
  </w:style>
  <w:style w:type="character" w:styleId="EndnoteReference">
    <w:name w:val="endnote reference"/>
    <w:rsid w:val="005B5A36"/>
    <w:rPr>
      <w:vertAlign w:val="superscript"/>
    </w:rPr>
  </w:style>
  <w:style w:type="character" w:customStyle="1" w:styleId="EmailStyle611">
    <w:name w:val="EmailStyle611"/>
    <w:rsid w:val="005B5A36"/>
    <w:rPr>
      <w:rFonts w:ascii="Arial" w:hAnsi="Arial" w:cs="Arial"/>
      <w:color w:val="auto"/>
      <w:sz w:val="20"/>
      <w:szCs w:val="20"/>
    </w:rPr>
  </w:style>
  <w:style w:type="character" w:customStyle="1" w:styleId="pa-h2">
    <w:name w:val="pa-h2"/>
    <w:rsid w:val="005B5A36"/>
    <w:rPr>
      <w:rFonts w:ascii="Helvetica LT Std" w:hAnsi="Helvetica LT Std" w:hint="default"/>
      <w:color w:val="000000"/>
      <w:sz w:val="24"/>
      <w:szCs w:val="24"/>
    </w:rPr>
  </w:style>
  <w:style w:type="character" w:customStyle="1" w:styleId="HeaderChar">
    <w:name w:val="Header Char"/>
    <w:link w:val="Header"/>
    <w:rsid w:val="005B5A36"/>
    <w:rPr>
      <w:sz w:val="24"/>
      <w:szCs w:val="24"/>
    </w:rPr>
  </w:style>
  <w:style w:type="character" w:customStyle="1" w:styleId="FooterChar">
    <w:name w:val="Footer Char"/>
    <w:link w:val="Footer"/>
    <w:rsid w:val="005B5A36"/>
    <w:rPr>
      <w:sz w:val="24"/>
      <w:szCs w:val="24"/>
    </w:rPr>
  </w:style>
  <w:style w:type="paragraph" w:styleId="Subtitle">
    <w:name w:val="Subtitle"/>
    <w:basedOn w:val="Normal"/>
    <w:link w:val="SubtitleChar"/>
    <w:qFormat/>
    <w:rsid w:val="005B5A36"/>
    <w:pPr>
      <w:keepNext/>
      <w:spacing w:after="240"/>
    </w:pPr>
    <w:rPr>
      <w:rFonts w:ascii="Times New Roman" w:hAnsi="Times New Roman" w:cs="Arial"/>
      <w:b/>
      <w:sz w:val="24"/>
      <w:szCs w:val="24"/>
    </w:rPr>
  </w:style>
  <w:style w:type="character" w:customStyle="1" w:styleId="SubtitleChar">
    <w:name w:val="Subtitle Char"/>
    <w:link w:val="Subtitle"/>
    <w:rsid w:val="005B5A36"/>
    <w:rPr>
      <w:rFonts w:cs="Arial"/>
      <w:b/>
      <w:sz w:val="24"/>
      <w:szCs w:val="24"/>
    </w:rPr>
  </w:style>
  <w:style w:type="character" w:customStyle="1" w:styleId="PlainTextChar">
    <w:name w:val="Plain Text Char"/>
    <w:link w:val="PlainText"/>
    <w:rsid w:val="005B5A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9931">
      <w:bodyDiv w:val="1"/>
      <w:marLeft w:val="0"/>
      <w:marRight w:val="0"/>
      <w:marTop w:val="0"/>
      <w:marBottom w:val="0"/>
      <w:divBdr>
        <w:top w:val="none" w:sz="0" w:space="0" w:color="auto"/>
        <w:left w:val="none" w:sz="0" w:space="0" w:color="auto"/>
        <w:bottom w:val="none" w:sz="0" w:space="0" w:color="auto"/>
        <w:right w:val="none" w:sz="0" w:space="0" w:color="auto"/>
      </w:divBdr>
    </w:div>
    <w:div w:id="13928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o.moss.nuco.com/taxfacts2015/tfempb/p2-cafplan/ingen/Pages/3504-00-TF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20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84B4-88B4-4D3F-A4E3-EF864756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 Online</Template>
  <TotalTime>1</TotalTime>
  <Pages>4</Pages>
  <Words>1078</Words>
  <Characters>6148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373. Must an employer offering Health Savings Accounts (HSAs) to its employees contribute the same amount for each employee?</vt:lpstr>
    </vt:vector>
  </TitlesOfParts>
  <Company>Albany Law School</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373. Must an employer offering Health Savings Accounts (HSAs) to its employees contribute the same amount for each employee?</dc:title>
  <dc:creator>Nuco Employee</dc:creator>
  <cp:lastModifiedBy>rcline</cp:lastModifiedBy>
  <cp:revision>2</cp:revision>
  <dcterms:created xsi:type="dcterms:W3CDTF">2015-06-01T13:35:00Z</dcterms:created>
  <dcterms:modified xsi:type="dcterms:W3CDTF">2015-06-01T13:35:00Z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Map Loc 1">
    <vt:lpwstr>Site Map/Employee Benefits/Health Insurance/Health and Medical Savings Accounts/Contributions</vt:lpwstr>
  </property>
  <property fmtid="{D5CDD505-2E9C-101B-9397-08002B2CF9AE}" pid="3" name="Site Map Loc 2">
    <vt:lpwstr>Site Map/Health Insurance/Health and Medical Savings Accounts/Contributions</vt:lpwstr>
  </property>
  <property fmtid="{D5CDD505-2E9C-101B-9397-08002B2CF9AE}" pid="4" name="Keywords0">
    <vt:lpwstr/>
  </property>
  <property fmtid="{D5CDD505-2E9C-101B-9397-08002B2CF9AE}" pid="5" name="Abstract">
    <vt:lpwstr/>
  </property>
  <property fmtid="{D5CDD505-2E9C-101B-9397-08002B2CF9AE}" pid="6" name="Metadata">
    <vt:lpwstr/>
  </property>
  <property fmtid="{D5CDD505-2E9C-101B-9397-08002B2CF9AE}" pid="7" name="Creation Date">
    <vt:lpwstr>2005-01-18T00:00:00Z</vt:lpwstr>
  </property>
  <property fmtid="{D5CDD505-2E9C-101B-9397-08002B2CF9AE}" pid="8" name="Expiration Date0">
    <vt:lpwstr/>
  </property>
  <property fmtid="{D5CDD505-2E9C-101B-9397-08002B2CF9AE}" pid="9" name="Content Type">
    <vt:lpwstr>TaxFactsDefaultArticle</vt:lpwstr>
  </property>
  <property fmtid="{D5CDD505-2E9C-101B-9397-08002B2CF9AE}" pid="10" name="Image 1">
    <vt:lpwstr/>
  </property>
  <property fmtid="{D5CDD505-2E9C-101B-9397-08002B2CF9AE}" pid="11" name="Image 2">
    <vt:lpwstr/>
  </property>
  <property fmtid="{D5CDD505-2E9C-101B-9397-08002B2CF9AE}" pid="12" name="Related Link 1">
    <vt:lpwstr/>
  </property>
  <property fmtid="{D5CDD505-2E9C-101B-9397-08002B2CF9AE}" pid="13" name="Related Link 2">
    <vt:lpwstr/>
  </property>
  <property fmtid="{D5CDD505-2E9C-101B-9397-08002B2CF9AE}" pid="14" name="Related Link 3">
    <vt:lpwstr/>
  </property>
  <property fmtid="{D5CDD505-2E9C-101B-9397-08002B2CF9AE}" pid="15" name="Site Map Loc 3">
    <vt:lpwstr/>
  </property>
  <property fmtid="{D5CDD505-2E9C-101B-9397-08002B2CF9AE}" pid="16" name="Site Map Loc 4">
    <vt:lpwstr/>
  </property>
  <property fmtid="{D5CDD505-2E9C-101B-9397-08002B2CF9AE}" pid="17" name="Site Map Loc 5">
    <vt:lpwstr/>
  </property>
  <property fmtid="{D5CDD505-2E9C-101B-9397-08002B2CF9AE}" pid="18" name="Site Map Loc 6">
    <vt:lpwstr/>
  </property>
  <property fmtid="{D5CDD505-2E9C-101B-9397-08002B2CF9AE}" pid="19" name="Site Map Loc 7">
    <vt:lpwstr/>
  </property>
  <property fmtid="{D5CDD505-2E9C-101B-9397-08002B2CF9AE}" pid="20" name="Site Map Loc 8">
    <vt:lpwstr/>
  </property>
  <property fmtid="{D5CDD505-2E9C-101B-9397-08002B2CF9AE}" pid="21" name="Site Map Loc 9">
    <vt:lpwstr/>
  </property>
  <property fmtid="{D5CDD505-2E9C-101B-9397-08002B2CF9AE}" pid="22" name="TFCDROM">
    <vt:lpwstr>1</vt:lpwstr>
  </property>
  <property fmtid="{D5CDD505-2E9C-101B-9397-08002B2CF9AE}" pid="23" name="TFIDLNumber">
    <vt:lpwstr>1452</vt:lpwstr>
  </property>
  <property fmtid="{D5CDD505-2E9C-101B-9397-08002B2CF9AE}" pid="24" name="TFFileName">
    <vt:lpwstr>0199-00-tf1.xml</vt:lpwstr>
  </property>
  <property fmtid="{D5CDD505-2E9C-101B-9397-08002B2CF9AE}" pid="25" name="TFQuestionNumber">
    <vt:lpwstr>200.00</vt:lpwstr>
  </property>
  <property fmtid="{D5CDD505-2E9C-101B-9397-08002B2CF9AE}" pid="26" name="TFTaxonomy">
    <vt:lpwstr>;#1682;#1773;#</vt:lpwstr>
  </property>
  <property fmtid="{D5CDD505-2E9C-101B-9397-08002B2CF9AE}" pid="27" name="ContentTypeId">
    <vt:lpwstr>0x010100C568DB52D9D0A14D9B2FDCC96666E9F2007948130EC3DB064584E219954237AF3900242457EFB8B24247815D688C526CD44D009C4E67E972694125ABDA91AC61F5E51F</vt:lpwstr>
  </property>
  <property fmtid="{D5CDD505-2E9C-101B-9397-08002B2CF9AE}" pid="28" name="TFBook">
    <vt:lpwstr>Tax Facts 1</vt:lpwstr>
  </property>
  <property fmtid="{D5CDD505-2E9C-101B-9397-08002B2CF9AE}" pid="29" name="TFQuestionTitle">
    <vt:lpwstr>Must an employer offering Health Savings Accounts (HSAs) to its employees contribute the same amount for each employee?
</vt:lpwstr>
  </property>
  <property fmtid="{D5CDD505-2E9C-101B-9397-08002B2CF9AE}" pid="30" name="Order">
    <vt:lpwstr>120400.000000000</vt:lpwstr>
  </property>
  <property fmtid="{D5CDD505-2E9C-101B-9397-08002B2CF9AE}" pid="31" name="ContentType">
    <vt:lpwstr>TaxFactsDefaultArticle</vt:lpwstr>
  </property>
  <property fmtid="{D5CDD505-2E9C-101B-9397-08002B2CF9AE}" pid="32" name="Published">
    <vt:lpwstr>2010-01-15T00:48:13Z</vt:lpwstr>
  </property>
  <property fmtid="{D5CDD505-2E9C-101B-9397-08002B2CF9AE}" pid="33" name="Published By">
    <vt:lpwstr>SBMEDIA\moss-admin</vt:lpwstr>
  </property>
  <property fmtid="{D5CDD505-2E9C-101B-9397-08002B2CF9AE}" pid="34" name="Comments">
    <vt:lpwstr/>
  </property>
  <property fmtid="{D5CDD505-2E9C-101B-9397-08002B2CF9AE}" pid="35" name="TFAbstract">
    <vt:lpwstr/>
  </property>
  <property fmtid="{D5CDD505-2E9C-101B-9397-08002B2CF9AE}" pid="36" name="TFRelatedLinkName1">
    <vt:lpwstr/>
  </property>
  <property fmtid="{D5CDD505-2E9C-101B-9397-08002B2CF9AE}" pid="37" name="TFRelatedLinkName2">
    <vt:lpwstr/>
  </property>
  <property fmtid="{D5CDD505-2E9C-101B-9397-08002B2CF9AE}" pid="38" name="TFRelatedLinkName3">
    <vt:lpwstr/>
  </property>
  <property fmtid="{D5CDD505-2E9C-101B-9397-08002B2CF9AE}" pid="39" name="TFSortWeight">
    <vt:lpwstr/>
  </property>
</Properties>
</file>