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1F" w:rsidRDefault="00520B1F" w:rsidP="00520B1F">
      <w:pPr>
        <w:pStyle w:val="QU"/>
      </w:pPr>
      <w:r>
        <w:t>372. What are the limits on amounts contributed to a Health Savings Account (HSA)?</w:t>
      </w:r>
    </w:p>
    <w:p w:rsidR="00C558B1" w:rsidRDefault="00C558B1" w:rsidP="00307B6A">
      <w:pPr>
        <w:pStyle w:val="QU"/>
      </w:pPr>
    </w:p>
    <w:p w:rsidR="00C558B1" w:rsidRDefault="008405D2" w:rsidP="0096419C">
      <w:pPr>
        <w:pStyle w:val="PA"/>
      </w:pPr>
      <w:r w:rsidRPr="0096419C">
        <w:t>An eligible individual may deduct the aggregate amount paid in cash into an HSA during the taxable year, up to $3,</w:t>
      </w:r>
      <w:r w:rsidR="00C46891">
        <w:t>30</w:t>
      </w:r>
      <w:r w:rsidR="002B6DF3">
        <w:t>0</w:t>
      </w:r>
      <w:r w:rsidR="002B6DF3" w:rsidRPr="0096419C">
        <w:t xml:space="preserve"> </w:t>
      </w:r>
      <w:r w:rsidRPr="0096419C">
        <w:t xml:space="preserve">for self-only coverage </w:t>
      </w:r>
      <w:r w:rsidR="00596690" w:rsidRPr="0096419C">
        <w:t xml:space="preserve">and </w:t>
      </w:r>
      <w:r w:rsidRPr="0096419C">
        <w:t>$6,</w:t>
      </w:r>
      <w:r w:rsidR="00C46891">
        <w:t>5</w:t>
      </w:r>
      <w:r w:rsidR="002B6DF3">
        <w:t>50</w:t>
      </w:r>
      <w:r w:rsidR="002B6DF3" w:rsidRPr="0096419C">
        <w:t xml:space="preserve"> </w:t>
      </w:r>
      <w:r w:rsidRPr="0096419C">
        <w:t xml:space="preserve">for family coverage in </w:t>
      </w:r>
      <w:r w:rsidR="002B6DF3">
        <w:t>201</w:t>
      </w:r>
      <w:r w:rsidR="00C46891">
        <w:t>4</w:t>
      </w:r>
      <w:r w:rsidRPr="0096419C">
        <w:t>.</w:t>
      </w:r>
      <w:r w:rsidRPr="00306413">
        <w:rPr>
          <w:vertAlign w:val="superscript"/>
        </w:rPr>
        <w:footnoteReference w:id="1"/>
      </w:r>
      <w:r w:rsidR="00596690" w:rsidRPr="0096419C">
        <w:t xml:space="preserve"> For </w:t>
      </w:r>
      <w:r w:rsidR="002B6DF3">
        <w:t>201</w:t>
      </w:r>
      <w:r w:rsidR="00C46891">
        <w:t>5</w:t>
      </w:r>
      <w:r w:rsidR="00596690" w:rsidRPr="0096419C">
        <w:t>, HSA contribution limits increase to $3,</w:t>
      </w:r>
      <w:r w:rsidR="00C46891">
        <w:t>35</w:t>
      </w:r>
      <w:r w:rsidR="002B6DF3">
        <w:t>0</w:t>
      </w:r>
      <w:r w:rsidR="002B6DF3" w:rsidRPr="0096419C">
        <w:t xml:space="preserve"> </w:t>
      </w:r>
      <w:r w:rsidR="00596690" w:rsidRPr="0096419C">
        <w:t>for self-only coverage</w:t>
      </w:r>
      <w:r w:rsidR="00905FA9">
        <w:t>,</w:t>
      </w:r>
      <w:r w:rsidR="00596690" w:rsidRPr="0096419C">
        <w:t xml:space="preserve"> and $6,</w:t>
      </w:r>
      <w:r w:rsidR="00C46891">
        <w:t>65</w:t>
      </w:r>
      <w:r w:rsidR="002B6DF3">
        <w:t>0</w:t>
      </w:r>
      <w:r w:rsidR="002B6DF3" w:rsidRPr="0096419C">
        <w:t xml:space="preserve"> </w:t>
      </w:r>
      <w:r w:rsidR="00596690" w:rsidRPr="0096419C">
        <w:t>for family coverage.</w:t>
      </w:r>
      <w:r w:rsidR="00962FFF" w:rsidRPr="00306413">
        <w:rPr>
          <w:rStyle w:val="FootnoteReference"/>
        </w:rPr>
        <w:footnoteReference w:id="2"/>
      </w:r>
    </w:p>
    <w:p w:rsidR="00C558B1" w:rsidRDefault="00C558B1" w:rsidP="0096419C">
      <w:pPr>
        <w:pStyle w:val="PA"/>
      </w:pPr>
    </w:p>
    <w:p w:rsidR="00C558B1" w:rsidRDefault="008405D2" w:rsidP="0096419C">
      <w:pPr>
        <w:pStyle w:val="PA"/>
      </w:pPr>
      <w:r w:rsidRPr="0096419C">
        <w:t xml:space="preserve">For 2006 and prior years, the contribution and deduction were limited to the </w:t>
      </w:r>
      <w:r w:rsidR="00FD2AD9" w:rsidRPr="0096419C">
        <w:t>lesser</w:t>
      </w:r>
      <w:r w:rsidRPr="0096419C">
        <w:t xml:space="preserve"> of the deductible under the applicable HDHP or the indexed annual limits for self-only coverage or family coverage.</w:t>
      </w:r>
      <w:r w:rsidRPr="00306413">
        <w:rPr>
          <w:vertAlign w:val="superscript"/>
        </w:rPr>
        <w:footnoteReference w:id="3"/>
      </w:r>
    </w:p>
    <w:p w:rsidR="00C558B1" w:rsidRDefault="00C558B1" w:rsidP="0096419C">
      <w:pPr>
        <w:pStyle w:val="PA"/>
      </w:pPr>
    </w:p>
    <w:p w:rsidR="00C558B1" w:rsidRDefault="008405D2" w:rsidP="0096419C">
      <w:pPr>
        <w:pStyle w:val="PA"/>
      </w:pPr>
      <w:r w:rsidRPr="0096419C">
        <w:t>The determination between self-only and family coverage is made as of the first day of the month. The limit is calculated on a monthly basis and the allowable deduction for a taxable year cannot exceed the sum of the monthly limitations</w:t>
      </w:r>
      <w:r w:rsidR="00FD2AD9" w:rsidRPr="0096419C">
        <w:t xml:space="preserve">, </w:t>
      </w:r>
      <w:r w:rsidRPr="0096419C">
        <w:t>but see below for the rule applicable to newly eligible individuals</w:t>
      </w:r>
      <w:r w:rsidR="00FD2AD9" w:rsidRPr="0096419C">
        <w:t>,</w:t>
      </w:r>
      <w:r w:rsidR="00FD2AD9" w:rsidRPr="0096419C" w:rsidDel="00FD2AD9">
        <w:t xml:space="preserve"> </w:t>
      </w:r>
      <w:r w:rsidRPr="0096419C">
        <w:t xml:space="preserve">for the months during which </w:t>
      </w:r>
      <w:r w:rsidR="00FD2AD9" w:rsidRPr="0096419C">
        <w:t>an</w:t>
      </w:r>
      <w:r w:rsidRPr="0096419C">
        <w:t xml:space="preserve"> individual was an eligible individual (</w:t>
      </w:r>
      <w:hyperlink r:id="rId9" w:history="1">
        <w:r w:rsidR="00520B1F">
          <w:rPr>
            <w:rStyle w:val="Hyperlink"/>
          </w:rPr>
          <w:t>Q 370</w:t>
        </w:r>
      </w:hyperlink>
      <w:r w:rsidRPr="0096419C">
        <w:t>).</w:t>
      </w:r>
      <w:r w:rsidRPr="00306413">
        <w:rPr>
          <w:vertAlign w:val="superscript"/>
        </w:rPr>
        <w:footnoteReference w:id="4"/>
      </w:r>
      <w:r w:rsidRPr="0096419C">
        <w:t xml:space="preserve"> </w:t>
      </w:r>
    </w:p>
    <w:p w:rsidR="00C558B1" w:rsidRDefault="00C558B1" w:rsidP="0096419C">
      <w:pPr>
        <w:pStyle w:val="PA"/>
      </w:pPr>
    </w:p>
    <w:p w:rsidR="00C558B1" w:rsidRDefault="008405D2" w:rsidP="0096419C">
      <w:pPr>
        <w:pStyle w:val="PA"/>
      </w:pPr>
      <w:r w:rsidRPr="0096419C">
        <w:t>For example, a person with self-only coverage under an HDHP would be limited to a monthly contribution limit of $</w:t>
      </w:r>
      <w:r w:rsidR="002B6DF3">
        <w:t>27</w:t>
      </w:r>
      <w:r w:rsidR="00C46891">
        <w:t>9</w:t>
      </w:r>
      <w:r w:rsidR="002B6DF3" w:rsidRPr="0096419C">
        <w:t xml:space="preserve"> </w:t>
      </w:r>
      <w:r w:rsidR="00BD3C46" w:rsidRPr="0096419C">
        <w:t xml:space="preserve">for </w:t>
      </w:r>
      <w:r w:rsidR="002B6DF3">
        <w:t>201</w:t>
      </w:r>
      <w:r w:rsidR="00C46891">
        <w:t>5</w:t>
      </w:r>
      <w:r w:rsidR="002B6DF3" w:rsidRPr="0096419C">
        <w:t xml:space="preserve"> </w:t>
      </w:r>
      <w:r w:rsidRPr="0096419C">
        <w:t>($3,</w:t>
      </w:r>
      <w:r w:rsidR="002B6DF3">
        <w:t>3</w:t>
      </w:r>
      <w:r w:rsidR="00C46891">
        <w:t>5</w:t>
      </w:r>
      <w:r w:rsidR="002B6DF3">
        <w:t>0</w:t>
      </w:r>
      <w:r w:rsidR="002B6DF3" w:rsidRPr="0096419C">
        <w:t xml:space="preserve"> </w:t>
      </w:r>
      <w:r w:rsidRPr="0096419C">
        <w:t xml:space="preserve">divided by 12). If </w:t>
      </w:r>
      <w:r w:rsidR="00FD2AD9" w:rsidRPr="0096419C">
        <w:t>a</w:t>
      </w:r>
      <w:r w:rsidRPr="0096419C">
        <w:t xml:space="preserve"> person was an eligible individual for only the first eight months of </w:t>
      </w:r>
      <w:r w:rsidR="00FD2AD9" w:rsidRPr="0096419C">
        <w:t>a</w:t>
      </w:r>
      <w:r w:rsidRPr="0096419C">
        <w:t xml:space="preserve"> year, the contribution limit for the year would be $2,</w:t>
      </w:r>
      <w:r w:rsidR="002B6DF3">
        <w:t>2</w:t>
      </w:r>
      <w:r w:rsidR="00C46891">
        <w:t>32</w:t>
      </w:r>
      <w:r w:rsidR="002B6DF3" w:rsidRPr="0096419C">
        <w:t xml:space="preserve"> </w:t>
      </w:r>
      <w:r w:rsidRPr="0096419C">
        <w:t>(eight months multiplied by the monthly limit of $</w:t>
      </w:r>
      <w:r w:rsidR="002B6DF3">
        <w:t>27</w:t>
      </w:r>
      <w:r w:rsidR="00C46891">
        <w:t>9</w:t>
      </w:r>
      <w:r w:rsidRPr="0096419C">
        <w:t>). Although the annual contribution level is determined for each month, the annual contribution can be made in a single payment, if desired.</w:t>
      </w:r>
      <w:r w:rsidRPr="00306413">
        <w:rPr>
          <w:vertAlign w:val="superscript"/>
        </w:rPr>
        <w:footnoteReference w:id="5"/>
      </w:r>
    </w:p>
    <w:p w:rsidR="00C558B1" w:rsidRDefault="00C558B1" w:rsidP="0096419C">
      <w:pPr>
        <w:pStyle w:val="PA"/>
      </w:pPr>
    </w:p>
    <w:p w:rsidR="00C558B1" w:rsidRDefault="008405D2" w:rsidP="0096419C">
      <w:pPr>
        <w:pStyle w:val="PA"/>
      </w:pPr>
      <w:r w:rsidRPr="0096419C">
        <w:t xml:space="preserve">Individuals who attain age </w:t>
      </w:r>
      <w:r w:rsidR="00FD2AD9" w:rsidRPr="0096419C">
        <w:t>fifty-five</w:t>
      </w:r>
      <w:r w:rsidRPr="0096419C">
        <w:t xml:space="preserve"> before the close of </w:t>
      </w:r>
      <w:r w:rsidR="00FD2AD9" w:rsidRPr="0096419C">
        <w:t>a</w:t>
      </w:r>
      <w:r w:rsidRPr="0096419C">
        <w:t xml:space="preserve"> taxable year are eligible for an additional contribution amount over and above that calculated under IRC Section 223(b)(1) and IRC Section 223(b)(2). The additional </w:t>
      </w:r>
      <w:r w:rsidRPr="0096419C">
        <w:lastRenderedPageBreak/>
        <w:t>contribution amount is $1,000 for 2009 and later years.</w:t>
      </w:r>
      <w:r w:rsidRPr="00306413">
        <w:rPr>
          <w:vertAlign w:val="superscript"/>
        </w:rPr>
        <w:footnoteReference w:id="6"/>
      </w:r>
      <w:r w:rsidRPr="0096419C">
        <w:t xml:space="preserve"> In 201</w:t>
      </w:r>
      <w:r w:rsidR="00C46891">
        <w:t>5</w:t>
      </w:r>
      <w:r w:rsidR="00905FA9">
        <w:t>,</w:t>
      </w:r>
      <w:r w:rsidRPr="0096419C">
        <w:t xml:space="preserve"> this would allow individual</w:t>
      </w:r>
      <w:r w:rsidR="00416420" w:rsidRPr="0096419C">
        <w:t>s</w:t>
      </w:r>
      <w:r w:rsidRPr="0096419C">
        <w:t xml:space="preserve"> age </w:t>
      </w:r>
      <w:r w:rsidR="00FD2AD9" w:rsidRPr="0096419C">
        <w:t>fifty-five</w:t>
      </w:r>
      <w:r w:rsidRPr="0096419C">
        <w:t xml:space="preserve"> and older a total contribution of up to $4,</w:t>
      </w:r>
      <w:r w:rsidR="00962FFF">
        <w:t>3</w:t>
      </w:r>
      <w:r w:rsidR="00C46891">
        <w:t>5</w:t>
      </w:r>
      <w:r w:rsidR="00962FFF">
        <w:t>0</w:t>
      </w:r>
      <w:r w:rsidR="00416420" w:rsidRPr="0096419C">
        <w:t>; the total contribution</w:t>
      </w:r>
      <w:r w:rsidR="00FD2AD9" w:rsidRPr="0096419C">
        <w:t xml:space="preserve"> </w:t>
      </w:r>
      <w:r w:rsidRPr="0096419C">
        <w:t xml:space="preserve">for a family </w:t>
      </w:r>
      <w:r w:rsidR="00416420" w:rsidRPr="0096419C">
        <w:t xml:space="preserve">would be </w:t>
      </w:r>
      <w:r w:rsidRPr="0096419C">
        <w:t>$7,</w:t>
      </w:r>
      <w:r w:rsidR="00C46891">
        <w:t>6</w:t>
      </w:r>
      <w:r w:rsidR="002B6DF3">
        <w:t>50</w:t>
      </w:r>
      <w:r w:rsidRPr="0096419C">
        <w:t>.</w:t>
      </w:r>
    </w:p>
    <w:p w:rsidR="00C558B1" w:rsidRDefault="00C558B1" w:rsidP="0096419C">
      <w:pPr>
        <w:pStyle w:val="PA"/>
      </w:pPr>
    </w:p>
    <w:p w:rsidR="00C558B1" w:rsidRDefault="008405D2" w:rsidP="0096419C">
      <w:pPr>
        <w:pStyle w:val="PA"/>
      </w:pPr>
      <w:r w:rsidRPr="0096419C">
        <w:t xml:space="preserve">An individual who becomes an eligible individual after the beginning of </w:t>
      </w:r>
      <w:r w:rsidR="00FD2AD9" w:rsidRPr="0096419C">
        <w:t>a</w:t>
      </w:r>
      <w:r w:rsidRPr="0096419C">
        <w:t xml:space="preserve"> taxable year and who is an eligible individual for the last month of the taxable year shall be treated as being an eligible individual for the entire taxable year. For example, a calendar-year taxpayer with self-only coverage under an HDHP who became an eligible individual for December</w:t>
      </w:r>
      <w:r w:rsidR="00BD3C46" w:rsidRPr="0096419C">
        <w:t xml:space="preserve"> 201</w:t>
      </w:r>
      <w:r w:rsidR="00C46891">
        <w:t>5</w:t>
      </w:r>
      <w:r w:rsidRPr="0096419C">
        <w:t xml:space="preserve"> would be able to contribute the full $3,</w:t>
      </w:r>
      <w:r w:rsidR="00962FFF">
        <w:t>3</w:t>
      </w:r>
      <w:r w:rsidR="00C46891">
        <w:t>5</w:t>
      </w:r>
      <w:r w:rsidR="00962FFF">
        <w:t>0</w:t>
      </w:r>
      <w:r w:rsidRPr="0096419C">
        <w:t xml:space="preserve"> to an HSA in that taxable year. </w:t>
      </w:r>
      <w:r w:rsidR="00FD2AD9" w:rsidRPr="0096419C">
        <w:t>I</w:t>
      </w:r>
      <w:r w:rsidRPr="0096419C">
        <w:t xml:space="preserve">f </w:t>
      </w:r>
      <w:r w:rsidR="00FD2AD9" w:rsidRPr="0096419C">
        <w:t>a</w:t>
      </w:r>
      <w:r w:rsidRPr="0096419C">
        <w:t xml:space="preserve"> taxpayer fails at any time during the following taxable year to be an eligible individual, the taxpayer must include in his </w:t>
      </w:r>
      <w:r w:rsidR="00FD2AD9" w:rsidRPr="0096419C">
        <w:t xml:space="preserve">or her </w:t>
      </w:r>
      <w:r w:rsidRPr="0096419C">
        <w:t xml:space="preserve">gross income the aggregate amount of all HSA contributions made by the taxpayer that could not have been made under the general rule. The amount includable in gross income also </w:t>
      </w:r>
      <w:r w:rsidR="00FD2AD9" w:rsidRPr="0096419C">
        <w:t xml:space="preserve">is </w:t>
      </w:r>
      <w:r w:rsidRPr="0096419C">
        <w:t>subject to a 10</w:t>
      </w:r>
      <w:r w:rsidR="00FD2AD9" w:rsidRPr="0096419C">
        <w:t xml:space="preserve"> percent</w:t>
      </w:r>
      <w:r w:rsidRPr="0096419C">
        <w:t xml:space="preserve"> penalty tax</w:t>
      </w:r>
      <w:r w:rsidR="00E95BA3">
        <w:t xml:space="preserve"> </w:t>
      </w:r>
    </w:p>
    <w:p w:rsidR="00C558B1" w:rsidRDefault="00C558B1" w:rsidP="0096419C">
      <w:pPr>
        <w:pStyle w:val="PA"/>
      </w:pPr>
    </w:p>
    <w:p w:rsidR="00C558B1" w:rsidRDefault="008405D2" w:rsidP="0096419C">
      <w:pPr>
        <w:pStyle w:val="PA"/>
      </w:pPr>
      <w:r w:rsidRPr="0096419C">
        <w:t>For married individuals, if either spouse has family coverage, then both spouses are treated as having family coverage and the deduction limit is divided equally between them, unless they agree on a different division</w:t>
      </w:r>
      <w:r w:rsidR="002B6DF3">
        <w:t xml:space="preserve"> (note that this now applies to same sex couples equally, see </w:t>
      </w:r>
      <w:r w:rsidR="001D331F">
        <w:t>Q</w:t>
      </w:r>
      <w:r w:rsidR="00304D54">
        <w:t xml:space="preserve"> </w:t>
      </w:r>
      <w:r w:rsidR="001D331F">
        <w:t>3</w:t>
      </w:r>
      <w:r w:rsidR="00304D54">
        <w:t>78</w:t>
      </w:r>
      <w:r w:rsidR="002B6DF3">
        <w:t>)</w:t>
      </w:r>
      <w:r w:rsidRPr="0096419C">
        <w:t xml:space="preserve">. If </w:t>
      </w:r>
      <w:r w:rsidR="00416420" w:rsidRPr="0096419C">
        <w:t xml:space="preserve">both </w:t>
      </w:r>
      <w:r w:rsidRPr="0096419C">
        <w:t>spouses have family coverage under different plans, both spouses are treated as having only the family coverage with the lowest deductible.</w:t>
      </w:r>
      <w:r w:rsidRPr="00306413">
        <w:rPr>
          <w:vertAlign w:val="superscript"/>
        </w:rPr>
        <w:footnoteReference w:id="7"/>
      </w:r>
    </w:p>
    <w:p w:rsidR="000343C6" w:rsidRDefault="000343C6" w:rsidP="00BC04C4"/>
    <w:p w:rsidR="000343C6" w:rsidRDefault="000343C6" w:rsidP="000343C6">
      <w:pPr>
        <w:rPr>
          <w:rFonts w:ascii="Arial" w:hAnsi="Arial" w:cs="Arial"/>
        </w:rPr>
      </w:pPr>
      <w:r>
        <w:rPr>
          <w:rFonts w:ascii="Arial" w:hAnsi="Arial" w:cs="Arial"/>
          <w:b/>
        </w:rPr>
        <w:t>Planning Point</w:t>
      </w:r>
      <w:r w:rsidRPr="00DD48B2">
        <w:rPr>
          <w:rFonts w:ascii="Arial" w:hAnsi="Arial" w:cs="Arial"/>
          <w:b/>
        </w:rPr>
        <w:t>:</w:t>
      </w:r>
      <w:r>
        <w:rPr>
          <w:rFonts w:ascii="Arial" w:hAnsi="Arial" w:cs="Arial"/>
        </w:rPr>
        <w:t xml:space="preserve">  Even though </w:t>
      </w:r>
      <w:r w:rsidR="00BC04C4">
        <w:rPr>
          <w:rFonts w:ascii="Arial" w:hAnsi="Arial" w:cs="Arial"/>
        </w:rPr>
        <w:t>the tax code</w:t>
      </w:r>
      <w:r>
        <w:rPr>
          <w:rFonts w:ascii="Arial" w:hAnsi="Arial" w:cs="Arial"/>
        </w:rPr>
        <w:t xml:space="preserve"> refers to “family” HDHP coverage and provides for a “family” HSA contribution limit, all HSAs are individual accounts.</w:t>
      </w:r>
      <w:r w:rsidR="00BC04C4">
        <w:rPr>
          <w:rStyle w:val="FootnoteReference"/>
          <w:rFonts w:ascii="Arial" w:hAnsi="Arial" w:cs="Arial"/>
        </w:rPr>
        <w:footnoteReference w:id="8"/>
      </w:r>
      <w:r>
        <w:rPr>
          <w:rFonts w:ascii="Arial" w:hAnsi="Arial" w:cs="Arial"/>
        </w:rPr>
        <w:t xml:space="preserve"> The lack of a family HSA generally does not hurt HSA account owners as most desired goals can be accomplished through individual HSAs. The HSA can still be used for qualified medical expenses of a spouse and dependents. The higher family HSA contribution limit applies to an eligible individual covered under a family HDHP plan. A spouse or child can be named as an authorized signer on the HSA allowing for the family to have direct access to the HSA through checks or debit cards issued in the family member’s name. </w:t>
      </w:r>
    </w:p>
    <w:p w:rsidR="000343C6" w:rsidRDefault="000343C6" w:rsidP="000343C6">
      <w:pPr>
        <w:rPr>
          <w:rFonts w:ascii="Arial" w:hAnsi="Arial" w:cs="Arial"/>
        </w:rPr>
      </w:pPr>
    </w:p>
    <w:p w:rsidR="000343C6" w:rsidRDefault="000343C6" w:rsidP="00BC04C4">
      <w:pPr>
        <w:rPr>
          <w:rFonts w:ascii="Arial" w:hAnsi="Arial" w:cs="Arial"/>
        </w:rPr>
      </w:pPr>
      <w:r>
        <w:rPr>
          <w:rFonts w:ascii="Arial" w:hAnsi="Arial" w:cs="Arial"/>
        </w:rPr>
        <w:t xml:space="preserve">The lack of a family HSA, however, can complicate making HSA contributions. A common example of this is the catch-up contribution for individuals over age 55. A married couple with each spouse over the age 55 will have to open two HSAs to maximize their overall HSA contribution because the catch up contribution must be contributed to each respective spouse’s individual HSA.  Another implication is for employer contributions and pre-tax payroll deferral through an employer.  All pre-tax employer contributions must be made into the HSA of the employee and cannot be contributed to an HSA of the employee’s spouse. Opening two HSAs, one in the name of each spouse, is generally the answer to complications arising from the individual nature of HSAs. </w:t>
      </w:r>
      <w:r w:rsidR="00CF1E36">
        <w:rPr>
          <w:rFonts w:ascii="Arial" w:hAnsi="Arial" w:cs="Arial"/>
        </w:rPr>
        <w:t xml:space="preserve">This approach works well but is counter intuitive to many taxpayers </w:t>
      </w:r>
      <w:r w:rsidR="00CF1E36">
        <w:rPr>
          <w:rFonts w:ascii="Arial" w:hAnsi="Arial" w:cs="Arial"/>
        </w:rPr>
        <w:lastRenderedPageBreak/>
        <w:t>hearing about “family” HSAs and frustrating given a general desire by many to keep the number of financial accounts to a minimum, especially when there are fees associated with the account.</w:t>
      </w:r>
    </w:p>
    <w:p w:rsidR="00CF1E36" w:rsidRPr="000343C6" w:rsidRDefault="00CF1E36" w:rsidP="00BC04C4"/>
    <w:p w:rsidR="00C558B1" w:rsidRDefault="00CF1E36" w:rsidP="0096419C">
      <w:pPr>
        <w:pStyle w:val="PA"/>
      </w:pPr>
      <w:r>
        <w:rPr>
          <w:rFonts w:ascii="Arial" w:hAnsi="Arial" w:cs="Arial"/>
          <w:color w:val="auto"/>
          <w:sz w:val="20"/>
        </w:rPr>
        <w:t>_______________________________________________________________________</w:t>
      </w:r>
    </w:p>
    <w:p w:rsidR="00C558B1" w:rsidRDefault="008405D2" w:rsidP="0096419C">
      <w:pPr>
        <w:pStyle w:val="PA"/>
      </w:pPr>
      <w:r w:rsidRPr="0096419C">
        <w:t>An HSA may be offered in conjunction with a cafeteria plan (</w:t>
      </w:r>
      <w:hyperlink r:id="rId10" w:history="1">
        <w:r w:rsidR="00520B1F">
          <w:rPr>
            <w:rStyle w:val="Hyperlink"/>
          </w:rPr>
          <w:t>Q 3501</w:t>
        </w:r>
      </w:hyperlink>
      <w:r w:rsidRPr="0096419C">
        <w:t>). Both a high deductible health plan and an HSA are qualified benefits under a cafeteria plan.</w:t>
      </w:r>
      <w:r w:rsidRPr="00306413">
        <w:rPr>
          <w:vertAlign w:val="superscript"/>
        </w:rPr>
        <w:footnoteReference w:id="9"/>
      </w:r>
    </w:p>
    <w:p w:rsidR="00C558B1" w:rsidRDefault="00C558B1" w:rsidP="0096419C">
      <w:pPr>
        <w:pStyle w:val="PA"/>
      </w:pPr>
    </w:p>
    <w:p w:rsidR="00C558B1" w:rsidRDefault="008405D2" w:rsidP="0096419C">
      <w:pPr>
        <w:pStyle w:val="PA"/>
      </w:pPr>
      <w:r w:rsidRPr="0096419C">
        <w:t>Employer contributions to an HSA are treated as employer-provided coverage for medical expenses to the extent that contributions do not exceed the applicable amount of allowable HSA contributions.</w:t>
      </w:r>
      <w:r w:rsidRPr="00306413">
        <w:rPr>
          <w:vertAlign w:val="superscript"/>
        </w:rPr>
        <w:footnoteReference w:id="10"/>
      </w:r>
    </w:p>
    <w:p w:rsidR="00C558B1" w:rsidRDefault="00C558B1" w:rsidP="0096419C">
      <w:pPr>
        <w:pStyle w:val="PA"/>
      </w:pPr>
    </w:p>
    <w:p w:rsidR="00C558B1" w:rsidRDefault="00133A7C" w:rsidP="0096419C">
      <w:pPr>
        <w:pStyle w:val="PA"/>
      </w:pPr>
      <w:r>
        <w:t>A</w:t>
      </w:r>
      <w:r w:rsidR="008405D2" w:rsidRPr="0096419C">
        <w:t xml:space="preserve">n employee will not be required to include any amount in income simply because he </w:t>
      </w:r>
      <w:r w:rsidR="00FD2AD9" w:rsidRPr="0096419C">
        <w:t xml:space="preserve">or she </w:t>
      </w:r>
      <w:r w:rsidR="008405D2" w:rsidRPr="0096419C">
        <w:t>may choose between employer contributions to an HSA and employer contributions to another health plan.</w:t>
      </w:r>
      <w:r w:rsidR="008405D2" w:rsidRPr="00306413">
        <w:rPr>
          <w:vertAlign w:val="superscript"/>
        </w:rPr>
        <w:footnoteReference w:id="11"/>
      </w:r>
    </w:p>
    <w:p w:rsidR="00C558B1" w:rsidRDefault="00C558B1" w:rsidP="0096419C">
      <w:pPr>
        <w:pStyle w:val="PA"/>
      </w:pPr>
    </w:p>
    <w:p w:rsidR="00C558B1" w:rsidRDefault="008405D2" w:rsidP="0096419C">
      <w:pPr>
        <w:pStyle w:val="PA"/>
      </w:pPr>
      <w:r w:rsidRPr="0096419C">
        <w:t>An employer generally</w:t>
      </w:r>
      <w:r w:rsidR="00FD2AD9" w:rsidRPr="0096419C">
        <w:t xml:space="preserve"> can </w:t>
      </w:r>
      <w:r w:rsidRPr="0096419C">
        <w:t>deduct amounts paid to accident and health plans for employees as a business expense</w:t>
      </w:r>
      <w:r w:rsidR="00FD2AD9" w:rsidRPr="0096419C">
        <w:t xml:space="preserve"> (</w:t>
      </w:r>
      <w:hyperlink r:id="rId11" w:history="1">
        <w:r w:rsidR="00520B1F">
          <w:rPr>
            <w:rStyle w:val="Hyperlink"/>
          </w:rPr>
          <w:t>Q 313</w:t>
        </w:r>
      </w:hyperlink>
      <w:r w:rsidR="00FD2AD9" w:rsidRPr="0096419C">
        <w:t>)</w:t>
      </w:r>
      <w:r w:rsidRPr="0096419C">
        <w:t>.</w:t>
      </w:r>
    </w:p>
    <w:p w:rsidR="00C558B1" w:rsidRDefault="00C558B1" w:rsidP="0096419C">
      <w:pPr>
        <w:pStyle w:val="PA"/>
      </w:pPr>
    </w:p>
    <w:p w:rsidR="00C558B1" w:rsidRDefault="008405D2" w:rsidP="0096419C">
      <w:pPr>
        <w:pStyle w:val="PA"/>
      </w:pPr>
      <w:r w:rsidRPr="0096419C">
        <w:t xml:space="preserve">An individual may not deduct any amount paid into his </w:t>
      </w:r>
      <w:r w:rsidR="00FD2AD9" w:rsidRPr="0096419C">
        <w:t>or her HSA; that</w:t>
      </w:r>
      <w:r w:rsidRPr="0096419C">
        <w:t xml:space="preserve"> amount is excludable from gross income under IRC Section 106(d).</w:t>
      </w:r>
      <w:r w:rsidRPr="00306413">
        <w:rPr>
          <w:vertAlign w:val="superscript"/>
        </w:rPr>
        <w:footnoteReference w:id="12"/>
      </w:r>
    </w:p>
    <w:p w:rsidR="00C558B1" w:rsidRDefault="00C558B1" w:rsidP="0096419C">
      <w:pPr>
        <w:pStyle w:val="PA"/>
      </w:pPr>
    </w:p>
    <w:p w:rsidR="00C558B1" w:rsidRDefault="008405D2" w:rsidP="0096419C">
      <w:pPr>
        <w:pStyle w:val="PA"/>
      </w:pPr>
      <w:r w:rsidRPr="0096419C">
        <w:t>No deduction is allowed for any amount contributed to an HSA with respect to any individual for whom another taxpayer may take a deduction under IRC Section 151 for the taxable year.</w:t>
      </w:r>
      <w:r w:rsidRPr="00306413">
        <w:rPr>
          <w:vertAlign w:val="superscript"/>
        </w:rPr>
        <w:footnoteReference w:id="13"/>
      </w:r>
    </w:p>
    <w:p w:rsidR="00863F49" w:rsidRPr="0096419C" w:rsidRDefault="00863F49" w:rsidP="00605E25">
      <w:pPr>
        <w:pStyle w:val="QU"/>
        <w:rPr>
          <w:rFonts w:ascii="Times New Roman" w:eastAsia="Arial Unicode MS" w:hAnsi="Times New Roman"/>
        </w:rPr>
      </w:pPr>
    </w:p>
    <w:sectPr w:rsidR="00863F49" w:rsidRPr="0096419C" w:rsidSect="00863F49">
      <w:footnotePr>
        <w:numRestart w:val="eachPage"/>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BB" w:rsidRDefault="00CD40BB">
      <w:r>
        <w:separator/>
      </w:r>
    </w:p>
  </w:endnote>
  <w:endnote w:type="continuationSeparator" w:id="0">
    <w:p w:rsidR="00CD40BB" w:rsidRDefault="00CD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5000204A" w:usb2="00000000" w:usb3="00000000" w:csb0="00000005" w:csb1="00000000"/>
  </w:font>
  <w:font w:name="Tw Cen MT">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Perpetua Std">
    <w:altName w:val="Cambria"/>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BB" w:rsidRDefault="00CD40BB">
      <w:r>
        <w:separator/>
      </w:r>
    </w:p>
  </w:footnote>
  <w:footnote w:type="continuationSeparator" w:id="0">
    <w:p w:rsidR="00CD40BB" w:rsidRDefault="00CD40BB">
      <w:r>
        <w:continuationSeparator/>
      </w:r>
    </w:p>
  </w:footnote>
  <w:footnote w:id="1">
    <w:p w:rsidR="006A6B05" w:rsidRPr="0096419C" w:rsidRDefault="006A6B05" w:rsidP="00306413">
      <w:pPr>
        <w:pStyle w:val="PQ"/>
      </w:pPr>
      <w:r w:rsidRPr="0096419C">
        <w:footnoteRef/>
      </w:r>
      <w:r w:rsidR="00306413">
        <w:t>.</w:t>
      </w:r>
      <w:r w:rsidR="00306413">
        <w:tab/>
      </w:r>
      <w:r w:rsidR="00306413" w:rsidRPr="0096419C">
        <w:t xml:space="preserve">IRC </w:t>
      </w:r>
      <w:proofErr w:type="spellStart"/>
      <w:r w:rsidR="00306413" w:rsidRPr="0096419C">
        <w:t>Secs</w:t>
      </w:r>
      <w:proofErr w:type="spellEnd"/>
      <w:r w:rsidR="00306413" w:rsidRPr="0096419C">
        <w:t>. 223(a), 223(b)(2); Rev. Proc. 2010-22, 2010-1 CB 747; Rev. Proc. 2009-29, 2009-1 CB 1050.</w:t>
      </w:r>
    </w:p>
  </w:footnote>
  <w:footnote w:id="2">
    <w:p w:rsidR="006A6B05" w:rsidRDefault="006A6B05" w:rsidP="00306413">
      <w:pPr>
        <w:pStyle w:val="PQ"/>
      </w:pPr>
      <w:r>
        <w:rPr>
          <w:rStyle w:val="FootnoteReference"/>
        </w:rPr>
        <w:footnoteRef/>
      </w:r>
      <w:r w:rsidR="00306413">
        <w:t xml:space="preserve"> .</w:t>
      </w:r>
      <w:r w:rsidR="00306413">
        <w:tab/>
        <w:t>Rev. Proc. 2013-25.</w:t>
      </w:r>
    </w:p>
  </w:footnote>
  <w:footnote w:id="3">
    <w:p w:rsidR="006A6B05" w:rsidRPr="0096419C" w:rsidRDefault="006A6B05" w:rsidP="00306413">
      <w:pPr>
        <w:pStyle w:val="PQ"/>
      </w:pPr>
      <w:r w:rsidRPr="0096419C">
        <w:footnoteRef/>
      </w:r>
      <w:r w:rsidR="00306413">
        <w:t>.</w:t>
      </w:r>
      <w:r w:rsidR="00306413">
        <w:tab/>
      </w:r>
      <w:r w:rsidR="00306413" w:rsidRPr="0096419C">
        <w:t>IRC Sec. 223(b)(2), prior to amendment by TRHCA 2006.</w:t>
      </w:r>
    </w:p>
  </w:footnote>
  <w:footnote w:id="4">
    <w:p w:rsidR="006A6B05" w:rsidRPr="0096419C" w:rsidRDefault="006A6B05" w:rsidP="00306413">
      <w:pPr>
        <w:pStyle w:val="PQ"/>
      </w:pPr>
      <w:r w:rsidRPr="0096419C">
        <w:footnoteRef/>
      </w:r>
      <w:r w:rsidR="00306413">
        <w:t>.</w:t>
      </w:r>
      <w:r w:rsidR="00306413">
        <w:tab/>
      </w:r>
      <w:r w:rsidR="00306413" w:rsidRPr="0096419C">
        <w:t>IRC Sec. 223(b)(1).</w:t>
      </w:r>
    </w:p>
  </w:footnote>
  <w:footnote w:id="5">
    <w:p w:rsidR="006A6B05" w:rsidRPr="0096419C" w:rsidRDefault="006A6B05" w:rsidP="00306413">
      <w:pPr>
        <w:pStyle w:val="PQ"/>
      </w:pPr>
      <w:r w:rsidRPr="0096419C">
        <w:footnoteRef/>
      </w:r>
      <w:r w:rsidR="00306413">
        <w:t>.</w:t>
      </w:r>
      <w:r w:rsidR="00306413">
        <w:tab/>
      </w:r>
      <w:r w:rsidR="00306413" w:rsidRPr="0096419C">
        <w:t>IRC Sec. 223(b); Notice 2004-2, 2004-1 CB 269, A-12.</w:t>
      </w:r>
    </w:p>
  </w:footnote>
  <w:footnote w:id="6">
    <w:p w:rsidR="006A6B05" w:rsidRPr="0096419C" w:rsidRDefault="006A6B05" w:rsidP="00306413">
      <w:pPr>
        <w:pStyle w:val="PQ"/>
      </w:pPr>
      <w:r w:rsidRPr="0096419C">
        <w:footnoteRef/>
      </w:r>
      <w:r w:rsidR="00306413">
        <w:t>.</w:t>
      </w:r>
      <w:r w:rsidR="00306413">
        <w:tab/>
      </w:r>
      <w:r w:rsidR="00306413" w:rsidRPr="0096419C">
        <w:t>IRC Sec. 223(b)(3).</w:t>
      </w:r>
    </w:p>
  </w:footnote>
  <w:footnote w:id="7">
    <w:p w:rsidR="006A6B05" w:rsidRPr="0096419C" w:rsidRDefault="006A6B05" w:rsidP="00306413">
      <w:pPr>
        <w:pStyle w:val="PQ"/>
      </w:pPr>
      <w:r w:rsidRPr="0096419C">
        <w:footnoteRef/>
      </w:r>
      <w:r w:rsidR="00306413">
        <w:t>.</w:t>
      </w:r>
      <w:r w:rsidR="00306413">
        <w:tab/>
      </w:r>
      <w:r w:rsidR="00306413" w:rsidRPr="0096419C">
        <w:t>IRC Sec. 223(b)(5).</w:t>
      </w:r>
    </w:p>
  </w:footnote>
  <w:footnote w:id="8">
    <w:p w:rsidR="00BC04C4" w:rsidRDefault="00BC04C4">
      <w:pPr>
        <w:pStyle w:val="FootnoteText"/>
      </w:pPr>
      <w:r>
        <w:rPr>
          <w:rStyle w:val="FootnoteReference"/>
        </w:rPr>
        <w:footnoteRef/>
      </w:r>
      <w:r>
        <w:t xml:space="preserve">      IRC Sec. </w:t>
      </w:r>
      <w:r>
        <w:t xml:space="preserve">223 (d) </w:t>
      </w:r>
      <w:r>
        <w:t>(3).</w:t>
      </w:r>
      <w:bookmarkStart w:id="0" w:name="_GoBack"/>
      <w:bookmarkEnd w:id="0"/>
    </w:p>
  </w:footnote>
  <w:footnote w:id="9">
    <w:p w:rsidR="006A6B05" w:rsidRPr="0096419C" w:rsidRDefault="006A6B05" w:rsidP="00306413">
      <w:pPr>
        <w:pStyle w:val="PQ"/>
      </w:pPr>
      <w:r w:rsidRPr="0096419C">
        <w:footnoteRef/>
      </w:r>
      <w:r w:rsidR="00306413">
        <w:t>.</w:t>
      </w:r>
      <w:r w:rsidR="00306413">
        <w:tab/>
      </w:r>
      <w:r w:rsidR="00306413" w:rsidRPr="0096419C">
        <w:t>IRC Sec. 125(d)(2)(D).</w:t>
      </w:r>
    </w:p>
  </w:footnote>
  <w:footnote w:id="10">
    <w:p w:rsidR="006A6B05" w:rsidRPr="0096419C" w:rsidRDefault="006A6B05" w:rsidP="00306413">
      <w:pPr>
        <w:pStyle w:val="PQ"/>
      </w:pPr>
      <w:r w:rsidRPr="0096419C">
        <w:footnoteRef/>
      </w:r>
      <w:r w:rsidR="00306413">
        <w:t>.</w:t>
      </w:r>
      <w:r w:rsidR="00306413">
        <w:tab/>
      </w:r>
      <w:r w:rsidR="00306413" w:rsidRPr="0096419C">
        <w:t>IRC Sec. 106(d)(1).</w:t>
      </w:r>
    </w:p>
  </w:footnote>
  <w:footnote w:id="11">
    <w:p w:rsidR="006A6B05" w:rsidRPr="0096419C" w:rsidRDefault="006A6B05" w:rsidP="00306413">
      <w:pPr>
        <w:pStyle w:val="PQ"/>
      </w:pPr>
      <w:r w:rsidRPr="0096419C">
        <w:footnoteRef/>
      </w:r>
      <w:r w:rsidR="00306413">
        <w:t>.</w:t>
      </w:r>
      <w:r w:rsidR="00306413">
        <w:tab/>
      </w:r>
      <w:r w:rsidR="00306413" w:rsidRPr="0096419C">
        <w:t xml:space="preserve">IRC </w:t>
      </w:r>
      <w:proofErr w:type="spellStart"/>
      <w:r w:rsidR="00306413" w:rsidRPr="0096419C">
        <w:t>Secs</w:t>
      </w:r>
      <w:proofErr w:type="spellEnd"/>
      <w:r w:rsidR="00306413" w:rsidRPr="0096419C">
        <w:t>. 106(b)(2), 106(d)(2).</w:t>
      </w:r>
    </w:p>
  </w:footnote>
  <w:footnote w:id="12">
    <w:p w:rsidR="006A6B05" w:rsidRPr="0096419C" w:rsidRDefault="006A6B05" w:rsidP="00306413">
      <w:pPr>
        <w:pStyle w:val="PQ"/>
      </w:pPr>
      <w:r w:rsidRPr="0096419C">
        <w:footnoteRef/>
      </w:r>
      <w:r w:rsidR="00306413">
        <w:t>.</w:t>
      </w:r>
      <w:r w:rsidR="00306413">
        <w:tab/>
      </w:r>
      <w:r w:rsidR="00306413" w:rsidRPr="0096419C">
        <w:t>See</w:t>
      </w:r>
      <w:r w:rsidR="00306413" w:rsidRPr="0096419C">
        <w:rPr>
          <w:i/>
        </w:rPr>
        <w:t xml:space="preserve"> </w:t>
      </w:r>
      <w:r w:rsidR="00306413" w:rsidRPr="0096419C">
        <w:t>IRC Sec. 223(b)(4).</w:t>
      </w:r>
    </w:p>
  </w:footnote>
  <w:footnote w:id="13">
    <w:p w:rsidR="006A6B05" w:rsidRPr="0096419C" w:rsidRDefault="006A6B05" w:rsidP="00306413">
      <w:pPr>
        <w:pStyle w:val="PQ"/>
      </w:pPr>
      <w:r w:rsidRPr="0096419C">
        <w:footnoteRef/>
      </w:r>
      <w:r w:rsidR="00306413">
        <w:t>.</w:t>
      </w:r>
      <w:r w:rsidR="00306413">
        <w:tab/>
      </w:r>
      <w:r w:rsidR="00306413" w:rsidRPr="0096419C">
        <w:t>IRC Sec. 223(b)(6).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A82AA8"/>
    <w:lvl w:ilvl="0">
      <w:start w:val="1"/>
      <w:numFmt w:val="decimal"/>
      <w:lvlText w:val="%1."/>
      <w:lvlJc w:val="left"/>
      <w:pPr>
        <w:tabs>
          <w:tab w:val="num" w:pos="1800"/>
        </w:tabs>
        <w:ind w:left="1800" w:hanging="360"/>
      </w:pPr>
    </w:lvl>
  </w:abstractNum>
  <w:abstractNum w:abstractNumId="1">
    <w:nsid w:val="FFFFFF7D"/>
    <w:multiLevelType w:val="singleLevel"/>
    <w:tmpl w:val="882CAAF4"/>
    <w:lvl w:ilvl="0">
      <w:start w:val="1"/>
      <w:numFmt w:val="decimal"/>
      <w:lvlText w:val="%1."/>
      <w:lvlJc w:val="left"/>
      <w:pPr>
        <w:tabs>
          <w:tab w:val="num" w:pos="1440"/>
        </w:tabs>
        <w:ind w:left="1440" w:hanging="360"/>
      </w:pPr>
    </w:lvl>
  </w:abstractNum>
  <w:abstractNum w:abstractNumId="2">
    <w:nsid w:val="FFFFFF7E"/>
    <w:multiLevelType w:val="singleLevel"/>
    <w:tmpl w:val="F8240A10"/>
    <w:lvl w:ilvl="0">
      <w:start w:val="1"/>
      <w:numFmt w:val="decimal"/>
      <w:lvlText w:val="%1."/>
      <w:lvlJc w:val="left"/>
      <w:pPr>
        <w:tabs>
          <w:tab w:val="num" w:pos="1080"/>
        </w:tabs>
        <w:ind w:left="1080" w:hanging="360"/>
      </w:pPr>
    </w:lvl>
  </w:abstractNum>
  <w:abstractNum w:abstractNumId="3">
    <w:nsid w:val="FFFFFF7F"/>
    <w:multiLevelType w:val="singleLevel"/>
    <w:tmpl w:val="7A30075E"/>
    <w:lvl w:ilvl="0">
      <w:start w:val="1"/>
      <w:numFmt w:val="decimal"/>
      <w:lvlText w:val="%1."/>
      <w:lvlJc w:val="left"/>
      <w:pPr>
        <w:tabs>
          <w:tab w:val="num" w:pos="720"/>
        </w:tabs>
        <w:ind w:left="720" w:hanging="360"/>
      </w:pPr>
    </w:lvl>
  </w:abstractNum>
  <w:abstractNum w:abstractNumId="4">
    <w:nsid w:val="FFFFFF80"/>
    <w:multiLevelType w:val="singleLevel"/>
    <w:tmpl w:val="00065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34EF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42E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B43D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2E9054"/>
    <w:lvl w:ilvl="0">
      <w:start w:val="1"/>
      <w:numFmt w:val="decimal"/>
      <w:lvlText w:val="%1."/>
      <w:lvlJc w:val="left"/>
      <w:pPr>
        <w:tabs>
          <w:tab w:val="num" w:pos="360"/>
        </w:tabs>
        <w:ind w:left="360" w:hanging="360"/>
      </w:pPr>
    </w:lvl>
  </w:abstractNum>
  <w:abstractNum w:abstractNumId="9">
    <w:nsid w:val="FFFFFF89"/>
    <w:multiLevelType w:val="singleLevel"/>
    <w:tmpl w:val="6A500AD0"/>
    <w:lvl w:ilvl="0">
      <w:start w:val="1"/>
      <w:numFmt w:val="bullet"/>
      <w:lvlText w:val=""/>
      <w:lvlJc w:val="left"/>
      <w:pPr>
        <w:tabs>
          <w:tab w:val="num" w:pos="360"/>
        </w:tabs>
        <w:ind w:left="360" w:hanging="360"/>
      </w:pPr>
      <w:rPr>
        <w:rFonts w:ascii="Symbol" w:hAnsi="Symbol" w:hint="default"/>
      </w:rPr>
    </w:lvl>
  </w:abstractNum>
  <w:abstractNum w:abstractNumId="1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08E560D1"/>
    <w:multiLevelType w:val="hybridMultilevel"/>
    <w:tmpl w:val="07C45336"/>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9B801CB"/>
    <w:multiLevelType w:val="hybridMultilevel"/>
    <w:tmpl w:val="8D6E1D5C"/>
    <w:lvl w:ilvl="0" w:tplc="716CDB28">
      <w:start w:val="1"/>
      <w:numFmt w:val="bullet"/>
      <w:pStyle w:val="PCB"/>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5D48F7"/>
    <w:multiLevelType w:val="hybridMultilevel"/>
    <w:tmpl w:val="EC807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1B2CBE"/>
    <w:multiLevelType w:val="singleLevel"/>
    <w:tmpl w:val="0409000F"/>
    <w:lvl w:ilvl="0">
      <w:start w:val="1"/>
      <w:numFmt w:val="decimal"/>
      <w:lvlText w:val="%1."/>
      <w:lvlJc w:val="left"/>
      <w:pPr>
        <w:tabs>
          <w:tab w:val="num" w:pos="360"/>
        </w:tabs>
        <w:ind w:left="360" w:hanging="360"/>
      </w:pPr>
    </w:lvl>
  </w:abstractNum>
  <w:abstractNum w:abstractNumId="19">
    <w:nsid w:val="58D07A33"/>
    <w:multiLevelType w:val="hybridMultilevel"/>
    <w:tmpl w:val="77EC2504"/>
    <w:lvl w:ilvl="0" w:tplc="CD90B03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nsid w:val="6B5C6868"/>
    <w:multiLevelType w:val="hybridMultilevel"/>
    <w:tmpl w:val="6290BC30"/>
    <w:lvl w:ilvl="0" w:tplc="04DE267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0"/>
  </w:num>
  <w:num w:numId="2">
    <w:abstractNumId w:val="10"/>
  </w:num>
  <w:num w:numId="3">
    <w:abstractNumId w:val="16"/>
  </w:num>
  <w:num w:numId="4">
    <w:abstractNumId w:val="23"/>
  </w:num>
  <w:num w:numId="5">
    <w:abstractNumId w:val="15"/>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21"/>
  </w:num>
  <w:num w:numId="20">
    <w:abstractNumId w:val="22"/>
  </w:num>
  <w:num w:numId="21">
    <w:abstractNumId w:val="17"/>
  </w:num>
  <w:num w:numId="22">
    <w:abstractNumId w:val="14"/>
  </w:num>
  <w:num w:numId="23">
    <w:abstractNumId w:val="13"/>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ney Johnson">
    <w15:presenceInfo w15:providerId="Windows Live" w15:userId="741b44f42194ea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InvalidXml/>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49"/>
    <w:rsid w:val="00006656"/>
    <w:rsid w:val="000343C6"/>
    <w:rsid w:val="00040A55"/>
    <w:rsid w:val="000462D7"/>
    <w:rsid w:val="00050D65"/>
    <w:rsid w:val="00055EE0"/>
    <w:rsid w:val="000616EF"/>
    <w:rsid w:val="000667C8"/>
    <w:rsid w:val="000810FD"/>
    <w:rsid w:val="00082681"/>
    <w:rsid w:val="000910B4"/>
    <w:rsid w:val="00096D9A"/>
    <w:rsid w:val="000A4C4C"/>
    <w:rsid w:val="000A5A3E"/>
    <w:rsid w:val="000C482A"/>
    <w:rsid w:val="000D0DAA"/>
    <w:rsid w:val="000E5A7A"/>
    <w:rsid w:val="000F4FAA"/>
    <w:rsid w:val="000F68E1"/>
    <w:rsid w:val="001164EE"/>
    <w:rsid w:val="0011698C"/>
    <w:rsid w:val="00127A2F"/>
    <w:rsid w:val="00133A7C"/>
    <w:rsid w:val="00134AA2"/>
    <w:rsid w:val="00154429"/>
    <w:rsid w:val="00165F44"/>
    <w:rsid w:val="00176A3E"/>
    <w:rsid w:val="001775EC"/>
    <w:rsid w:val="00182ADA"/>
    <w:rsid w:val="001925D4"/>
    <w:rsid w:val="00196817"/>
    <w:rsid w:val="00197CF9"/>
    <w:rsid w:val="001A2581"/>
    <w:rsid w:val="001B3756"/>
    <w:rsid w:val="001B3F7F"/>
    <w:rsid w:val="001D2D48"/>
    <w:rsid w:val="001D331F"/>
    <w:rsid w:val="001E30AB"/>
    <w:rsid w:val="001F4991"/>
    <w:rsid w:val="00200622"/>
    <w:rsid w:val="00216805"/>
    <w:rsid w:val="00235AD1"/>
    <w:rsid w:val="00235E93"/>
    <w:rsid w:val="002371BE"/>
    <w:rsid w:val="00264BED"/>
    <w:rsid w:val="00283033"/>
    <w:rsid w:val="002870E2"/>
    <w:rsid w:val="00292D65"/>
    <w:rsid w:val="002A146C"/>
    <w:rsid w:val="002B6DF3"/>
    <w:rsid w:val="002C1C7D"/>
    <w:rsid w:val="002C6336"/>
    <w:rsid w:val="002D1A8F"/>
    <w:rsid w:val="002D56DA"/>
    <w:rsid w:val="002E5B42"/>
    <w:rsid w:val="00304D54"/>
    <w:rsid w:val="00306413"/>
    <w:rsid w:val="00307B6A"/>
    <w:rsid w:val="0033069A"/>
    <w:rsid w:val="00330CB3"/>
    <w:rsid w:val="003319F6"/>
    <w:rsid w:val="00333D4B"/>
    <w:rsid w:val="0036255C"/>
    <w:rsid w:val="00382402"/>
    <w:rsid w:val="00386C9E"/>
    <w:rsid w:val="003A5F9E"/>
    <w:rsid w:val="003E623D"/>
    <w:rsid w:val="003F5D03"/>
    <w:rsid w:val="00407984"/>
    <w:rsid w:val="004116F7"/>
    <w:rsid w:val="00414561"/>
    <w:rsid w:val="00416420"/>
    <w:rsid w:val="0043403C"/>
    <w:rsid w:val="00435842"/>
    <w:rsid w:val="004606C9"/>
    <w:rsid w:val="0048077F"/>
    <w:rsid w:val="004953CE"/>
    <w:rsid w:val="00497942"/>
    <w:rsid w:val="004A5D6D"/>
    <w:rsid w:val="004B67F8"/>
    <w:rsid w:val="004C131D"/>
    <w:rsid w:val="004E38AA"/>
    <w:rsid w:val="005032AB"/>
    <w:rsid w:val="00505320"/>
    <w:rsid w:val="0050563C"/>
    <w:rsid w:val="005060E0"/>
    <w:rsid w:val="00506462"/>
    <w:rsid w:val="005069D2"/>
    <w:rsid w:val="0051088C"/>
    <w:rsid w:val="005179EE"/>
    <w:rsid w:val="00520B1F"/>
    <w:rsid w:val="0052627D"/>
    <w:rsid w:val="00534487"/>
    <w:rsid w:val="00537553"/>
    <w:rsid w:val="005539E5"/>
    <w:rsid w:val="005640EF"/>
    <w:rsid w:val="00570F35"/>
    <w:rsid w:val="00577074"/>
    <w:rsid w:val="00581406"/>
    <w:rsid w:val="00583067"/>
    <w:rsid w:val="00596690"/>
    <w:rsid w:val="00596AEE"/>
    <w:rsid w:val="00596F06"/>
    <w:rsid w:val="005A1AF4"/>
    <w:rsid w:val="005A452B"/>
    <w:rsid w:val="005A7D41"/>
    <w:rsid w:val="005B4071"/>
    <w:rsid w:val="005B6E8F"/>
    <w:rsid w:val="00605E25"/>
    <w:rsid w:val="006138BD"/>
    <w:rsid w:val="006203AB"/>
    <w:rsid w:val="00643FC4"/>
    <w:rsid w:val="0064668A"/>
    <w:rsid w:val="006566AD"/>
    <w:rsid w:val="00662D8A"/>
    <w:rsid w:val="0066423C"/>
    <w:rsid w:val="00665075"/>
    <w:rsid w:val="00673D04"/>
    <w:rsid w:val="006A3D53"/>
    <w:rsid w:val="006A6B05"/>
    <w:rsid w:val="006C28CA"/>
    <w:rsid w:val="006C3E1A"/>
    <w:rsid w:val="006C4CF0"/>
    <w:rsid w:val="006C66A5"/>
    <w:rsid w:val="006D4449"/>
    <w:rsid w:val="006D49C3"/>
    <w:rsid w:val="006E0C43"/>
    <w:rsid w:val="006E2B7C"/>
    <w:rsid w:val="006F0B85"/>
    <w:rsid w:val="006F4F39"/>
    <w:rsid w:val="00722B62"/>
    <w:rsid w:val="00737562"/>
    <w:rsid w:val="00745139"/>
    <w:rsid w:val="00747AF1"/>
    <w:rsid w:val="0076772B"/>
    <w:rsid w:val="007843CA"/>
    <w:rsid w:val="00796164"/>
    <w:rsid w:val="007A37F2"/>
    <w:rsid w:val="007A40DD"/>
    <w:rsid w:val="007C55DB"/>
    <w:rsid w:val="007D6829"/>
    <w:rsid w:val="007D6C95"/>
    <w:rsid w:val="007E1C55"/>
    <w:rsid w:val="007E2219"/>
    <w:rsid w:val="007F4F05"/>
    <w:rsid w:val="008015D5"/>
    <w:rsid w:val="00807BD6"/>
    <w:rsid w:val="008104A6"/>
    <w:rsid w:val="008142F4"/>
    <w:rsid w:val="0082574F"/>
    <w:rsid w:val="00825998"/>
    <w:rsid w:val="00825B32"/>
    <w:rsid w:val="00830D5E"/>
    <w:rsid w:val="00832D4F"/>
    <w:rsid w:val="00837FE2"/>
    <w:rsid w:val="008405D2"/>
    <w:rsid w:val="00845527"/>
    <w:rsid w:val="00862665"/>
    <w:rsid w:val="00863F49"/>
    <w:rsid w:val="008818DE"/>
    <w:rsid w:val="00885ECF"/>
    <w:rsid w:val="00887070"/>
    <w:rsid w:val="008909C2"/>
    <w:rsid w:val="00890E02"/>
    <w:rsid w:val="00896DEE"/>
    <w:rsid w:val="008A01D1"/>
    <w:rsid w:val="008A0300"/>
    <w:rsid w:val="008A5F46"/>
    <w:rsid w:val="008D7486"/>
    <w:rsid w:val="008E1FC2"/>
    <w:rsid w:val="008E52D0"/>
    <w:rsid w:val="009011F5"/>
    <w:rsid w:val="00905FA9"/>
    <w:rsid w:val="009310CF"/>
    <w:rsid w:val="00946DD1"/>
    <w:rsid w:val="00950E3F"/>
    <w:rsid w:val="00962FFF"/>
    <w:rsid w:val="0096419C"/>
    <w:rsid w:val="00975FA0"/>
    <w:rsid w:val="00980FD6"/>
    <w:rsid w:val="009A46DB"/>
    <w:rsid w:val="009B18BB"/>
    <w:rsid w:val="009D60BB"/>
    <w:rsid w:val="009E036D"/>
    <w:rsid w:val="009F1392"/>
    <w:rsid w:val="00A01BDB"/>
    <w:rsid w:val="00A02A5D"/>
    <w:rsid w:val="00A06D65"/>
    <w:rsid w:val="00A57AD1"/>
    <w:rsid w:val="00A662D8"/>
    <w:rsid w:val="00A709E0"/>
    <w:rsid w:val="00A75B77"/>
    <w:rsid w:val="00A90160"/>
    <w:rsid w:val="00AA0889"/>
    <w:rsid w:val="00AA1C86"/>
    <w:rsid w:val="00AA6885"/>
    <w:rsid w:val="00AC02B3"/>
    <w:rsid w:val="00AC2F4D"/>
    <w:rsid w:val="00AC785F"/>
    <w:rsid w:val="00AD142F"/>
    <w:rsid w:val="00AD5096"/>
    <w:rsid w:val="00AF49F5"/>
    <w:rsid w:val="00AF6D6E"/>
    <w:rsid w:val="00B20769"/>
    <w:rsid w:val="00B25DB9"/>
    <w:rsid w:val="00B45AC7"/>
    <w:rsid w:val="00B46AFA"/>
    <w:rsid w:val="00B80539"/>
    <w:rsid w:val="00B93FFD"/>
    <w:rsid w:val="00BA0BBA"/>
    <w:rsid w:val="00BC04C4"/>
    <w:rsid w:val="00BC143E"/>
    <w:rsid w:val="00BC30B8"/>
    <w:rsid w:val="00BC54FC"/>
    <w:rsid w:val="00BD3C46"/>
    <w:rsid w:val="00BF711B"/>
    <w:rsid w:val="00C269C4"/>
    <w:rsid w:val="00C31975"/>
    <w:rsid w:val="00C4217C"/>
    <w:rsid w:val="00C46891"/>
    <w:rsid w:val="00C5587E"/>
    <w:rsid w:val="00C558B1"/>
    <w:rsid w:val="00C749A4"/>
    <w:rsid w:val="00C76F53"/>
    <w:rsid w:val="00C93B8C"/>
    <w:rsid w:val="00CA60A0"/>
    <w:rsid w:val="00CB30A5"/>
    <w:rsid w:val="00CD40BB"/>
    <w:rsid w:val="00CE3C04"/>
    <w:rsid w:val="00CF1E36"/>
    <w:rsid w:val="00CF2A46"/>
    <w:rsid w:val="00D04176"/>
    <w:rsid w:val="00D2077A"/>
    <w:rsid w:val="00D243C4"/>
    <w:rsid w:val="00D2729D"/>
    <w:rsid w:val="00D37606"/>
    <w:rsid w:val="00D43CDA"/>
    <w:rsid w:val="00D503EB"/>
    <w:rsid w:val="00D80D52"/>
    <w:rsid w:val="00D8115D"/>
    <w:rsid w:val="00D8409A"/>
    <w:rsid w:val="00D90360"/>
    <w:rsid w:val="00DA76B9"/>
    <w:rsid w:val="00DB5C42"/>
    <w:rsid w:val="00DC36D9"/>
    <w:rsid w:val="00DF16AE"/>
    <w:rsid w:val="00DF46C4"/>
    <w:rsid w:val="00DF58B1"/>
    <w:rsid w:val="00E00DF5"/>
    <w:rsid w:val="00E17287"/>
    <w:rsid w:val="00E20193"/>
    <w:rsid w:val="00E41971"/>
    <w:rsid w:val="00E46CD0"/>
    <w:rsid w:val="00E54E12"/>
    <w:rsid w:val="00E65C5B"/>
    <w:rsid w:val="00E666B0"/>
    <w:rsid w:val="00E81B84"/>
    <w:rsid w:val="00E85DCB"/>
    <w:rsid w:val="00E85DF9"/>
    <w:rsid w:val="00E95BA3"/>
    <w:rsid w:val="00EB2389"/>
    <w:rsid w:val="00EB5A95"/>
    <w:rsid w:val="00EB660F"/>
    <w:rsid w:val="00EC31C0"/>
    <w:rsid w:val="00ED2146"/>
    <w:rsid w:val="00F05800"/>
    <w:rsid w:val="00F10884"/>
    <w:rsid w:val="00F22D17"/>
    <w:rsid w:val="00F322CC"/>
    <w:rsid w:val="00F365EB"/>
    <w:rsid w:val="00F57B2C"/>
    <w:rsid w:val="00FA624C"/>
    <w:rsid w:val="00FC3AA0"/>
    <w:rsid w:val="00FD2AD9"/>
    <w:rsid w:val="00FE1738"/>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46891"/>
    <w:rPr>
      <w:rFonts w:ascii="Perpetua" w:hAnsi="Perpetua"/>
    </w:rPr>
  </w:style>
  <w:style w:type="paragraph" w:styleId="Heading1">
    <w:name w:val="heading 1"/>
    <w:basedOn w:val="Normal"/>
    <w:next w:val="Normal"/>
    <w:qFormat/>
    <w:rsid w:val="00C46891"/>
    <w:pPr>
      <w:keepNext/>
      <w:outlineLvl w:val="0"/>
    </w:pPr>
    <w:rPr>
      <w:b/>
    </w:rPr>
  </w:style>
  <w:style w:type="paragraph" w:styleId="Heading2">
    <w:name w:val="heading 2"/>
    <w:basedOn w:val="Normal"/>
    <w:next w:val="Normal"/>
    <w:qFormat/>
    <w:rsid w:val="00C46891"/>
    <w:pPr>
      <w:keepNext/>
      <w:spacing w:before="240" w:after="60"/>
      <w:outlineLvl w:val="1"/>
    </w:pPr>
    <w:rPr>
      <w:rFonts w:ascii="Arial" w:hAnsi="Arial"/>
      <w:b/>
      <w:i/>
      <w:sz w:val="24"/>
    </w:rPr>
  </w:style>
  <w:style w:type="paragraph" w:styleId="Heading3">
    <w:name w:val="heading 3"/>
    <w:basedOn w:val="Normal"/>
    <w:next w:val="Normal"/>
    <w:qFormat/>
    <w:rsid w:val="00C4689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6891"/>
    <w:rPr>
      <w:rFonts w:ascii="Tahoma" w:hAnsi="Tahoma" w:cs="Tahoma"/>
      <w:sz w:val="16"/>
      <w:szCs w:val="16"/>
    </w:rPr>
  </w:style>
  <w:style w:type="paragraph" w:customStyle="1" w:styleId="PA">
    <w:name w:val="PA"/>
    <w:next w:val="Normal"/>
    <w:link w:val="PAChar"/>
    <w:rsid w:val="00C46891"/>
    <w:pPr>
      <w:spacing w:after="240"/>
      <w:ind w:firstLine="288"/>
      <w:jc w:val="both"/>
    </w:pPr>
    <w:rPr>
      <w:rFonts w:ascii="Helvetica LT Std" w:hAnsi="Helvetica LT Std"/>
      <w:color w:val="000000"/>
      <w:sz w:val="24"/>
    </w:rPr>
  </w:style>
  <w:style w:type="paragraph" w:styleId="PlainText">
    <w:name w:val="Plain Text"/>
    <w:basedOn w:val="Normal"/>
    <w:link w:val="PlainTextChar"/>
    <w:rsid w:val="00C46891"/>
    <w:rPr>
      <w:rFonts w:ascii="Courier New" w:hAnsi="Courier New" w:cs="Courier New"/>
      <w:sz w:val="24"/>
      <w:szCs w:val="24"/>
    </w:rPr>
  </w:style>
  <w:style w:type="paragraph" w:customStyle="1" w:styleId="QU">
    <w:name w:val="QU"/>
    <w:rsid w:val="00C46891"/>
    <w:pPr>
      <w:spacing w:after="240"/>
      <w:jc w:val="both"/>
    </w:pPr>
    <w:rPr>
      <w:rFonts w:ascii="Helvetica LT Std" w:hAnsi="Helvetica LT Std"/>
      <w:b/>
      <w:color w:val="000080"/>
      <w:sz w:val="24"/>
    </w:rPr>
  </w:style>
  <w:style w:type="paragraph" w:customStyle="1" w:styleId="PD">
    <w:name w:val="PD"/>
    <w:rsid w:val="00C46891"/>
    <w:pPr>
      <w:spacing w:after="240"/>
      <w:ind w:left="720" w:firstLine="288"/>
      <w:jc w:val="both"/>
    </w:pPr>
    <w:rPr>
      <w:rFonts w:ascii="Helvetica LT Std" w:hAnsi="Helvetica LT Std"/>
      <w:color w:val="000000"/>
      <w:sz w:val="24"/>
    </w:rPr>
  </w:style>
  <w:style w:type="paragraph" w:customStyle="1" w:styleId="HA">
    <w:name w:val="HA"/>
    <w:rsid w:val="00C46891"/>
    <w:pPr>
      <w:spacing w:after="240"/>
      <w:jc w:val="center"/>
    </w:pPr>
    <w:rPr>
      <w:rFonts w:ascii="Helvetica LT Std" w:hAnsi="Helvetica LT Std"/>
      <w:b/>
      <w:caps/>
      <w:w w:val="110"/>
      <w:sz w:val="36"/>
      <w:szCs w:val="32"/>
    </w:rPr>
  </w:style>
  <w:style w:type="paragraph" w:customStyle="1" w:styleId="PB">
    <w:name w:val="PB"/>
    <w:rsid w:val="00C46891"/>
    <w:pPr>
      <w:spacing w:after="240"/>
      <w:jc w:val="both"/>
    </w:pPr>
    <w:rPr>
      <w:rFonts w:ascii="Helvetica LT Std" w:hAnsi="Helvetica LT Std"/>
      <w:color w:val="000000"/>
      <w:sz w:val="24"/>
    </w:rPr>
  </w:style>
  <w:style w:type="paragraph" w:customStyle="1" w:styleId="PC">
    <w:name w:val="PC"/>
    <w:rsid w:val="00C46891"/>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C46891"/>
    <w:pPr>
      <w:spacing w:before="120" w:after="240"/>
      <w:jc w:val="center"/>
    </w:pPr>
    <w:rPr>
      <w:rFonts w:ascii="Helvetica LT Std" w:hAnsi="Helvetica LT Std"/>
      <w:b/>
      <w:color w:val="000080"/>
      <w:w w:val="105"/>
      <w:sz w:val="32"/>
    </w:rPr>
  </w:style>
  <w:style w:type="paragraph" w:customStyle="1" w:styleId="HC">
    <w:name w:val="HC"/>
    <w:rsid w:val="00C46891"/>
    <w:pPr>
      <w:tabs>
        <w:tab w:val="left" w:pos="284"/>
      </w:tabs>
      <w:spacing w:before="120" w:after="120"/>
      <w:jc w:val="center"/>
    </w:pPr>
    <w:rPr>
      <w:rFonts w:ascii="Helvetica LT Std" w:hAnsi="Helvetica LT Std"/>
      <w:b/>
      <w:color w:val="333333"/>
      <w:w w:val="110"/>
      <w:sz w:val="28"/>
    </w:rPr>
  </w:style>
  <w:style w:type="paragraph" w:customStyle="1" w:styleId="PH">
    <w:name w:val="PH"/>
    <w:rsid w:val="00C46891"/>
    <w:pPr>
      <w:tabs>
        <w:tab w:val="left" w:pos="360"/>
      </w:tabs>
      <w:spacing w:after="240"/>
      <w:ind w:left="360" w:hanging="360"/>
      <w:jc w:val="both"/>
    </w:pPr>
    <w:rPr>
      <w:rFonts w:ascii="Helvetica LT Std" w:hAnsi="Helvetica LT Std"/>
      <w:color w:val="000000"/>
      <w:sz w:val="24"/>
    </w:rPr>
  </w:style>
  <w:style w:type="character" w:styleId="PageNumber">
    <w:name w:val="page number"/>
    <w:rsid w:val="00C46891"/>
  </w:style>
  <w:style w:type="paragraph" w:customStyle="1" w:styleId="HD">
    <w:name w:val="HD"/>
    <w:rsid w:val="00C46891"/>
    <w:pPr>
      <w:spacing w:before="120" w:after="120"/>
      <w:jc w:val="center"/>
    </w:pPr>
    <w:rPr>
      <w:rFonts w:ascii="Helvetica LT Std" w:hAnsi="Helvetica LT Std"/>
      <w:b/>
      <w:w w:val="90"/>
      <w:sz w:val="26"/>
    </w:rPr>
  </w:style>
  <w:style w:type="paragraph" w:customStyle="1" w:styleId="HE">
    <w:name w:val="HE"/>
    <w:rsid w:val="00C46891"/>
    <w:pPr>
      <w:spacing w:before="120" w:after="120"/>
      <w:jc w:val="center"/>
    </w:pPr>
    <w:rPr>
      <w:rFonts w:ascii="Helvetica LT Std" w:hAnsi="Helvetica LT Std"/>
      <w:b/>
      <w:sz w:val="24"/>
    </w:rPr>
  </w:style>
  <w:style w:type="paragraph" w:customStyle="1" w:styleId="PI">
    <w:name w:val="PI"/>
    <w:rsid w:val="00C46891"/>
    <w:pPr>
      <w:spacing w:after="240"/>
      <w:ind w:left="360" w:hanging="360"/>
      <w:jc w:val="both"/>
    </w:pPr>
    <w:rPr>
      <w:rFonts w:ascii="Helvetica LT Std" w:hAnsi="Helvetica LT Std"/>
      <w:color w:val="000000"/>
      <w:sz w:val="24"/>
    </w:rPr>
  </w:style>
  <w:style w:type="paragraph" w:customStyle="1" w:styleId="PE">
    <w:name w:val="PE"/>
    <w:rsid w:val="00C46891"/>
    <w:pPr>
      <w:spacing w:after="240"/>
      <w:ind w:left="720"/>
      <w:jc w:val="both"/>
    </w:pPr>
    <w:rPr>
      <w:rFonts w:ascii="Helvetica LT Std" w:hAnsi="Helvetica LT Std"/>
      <w:color w:val="000000"/>
      <w:sz w:val="24"/>
    </w:rPr>
  </w:style>
  <w:style w:type="paragraph" w:customStyle="1" w:styleId="PG">
    <w:name w:val="PG"/>
    <w:rsid w:val="00C46891"/>
    <w:pPr>
      <w:spacing w:after="240"/>
      <w:ind w:left="360"/>
      <w:jc w:val="both"/>
    </w:pPr>
    <w:rPr>
      <w:rFonts w:ascii="Helvetica LT Std" w:hAnsi="Helvetica LT Std"/>
      <w:color w:val="000000"/>
      <w:sz w:val="24"/>
    </w:rPr>
  </w:style>
  <w:style w:type="paragraph" w:customStyle="1" w:styleId="HF">
    <w:name w:val="HF"/>
    <w:rsid w:val="00C46891"/>
    <w:pPr>
      <w:spacing w:before="120" w:after="120"/>
      <w:jc w:val="center"/>
    </w:pPr>
    <w:rPr>
      <w:rFonts w:ascii="Tw Cen MT" w:hAnsi="Tw Cen MT"/>
      <w:b/>
    </w:rPr>
  </w:style>
  <w:style w:type="paragraph" w:customStyle="1" w:styleId="PF">
    <w:name w:val="PF"/>
    <w:rsid w:val="00C46891"/>
    <w:pPr>
      <w:tabs>
        <w:tab w:val="left" w:pos="1080"/>
      </w:tabs>
      <w:spacing w:after="240"/>
      <w:ind w:left="1080" w:hanging="360"/>
      <w:jc w:val="both"/>
    </w:pPr>
    <w:rPr>
      <w:rFonts w:ascii="Helvetica LT Std" w:hAnsi="Helvetica LT Std"/>
      <w:color w:val="000000"/>
      <w:sz w:val="24"/>
    </w:rPr>
  </w:style>
  <w:style w:type="paragraph" w:customStyle="1" w:styleId="PK">
    <w:name w:val="PK"/>
    <w:rsid w:val="00C46891"/>
    <w:pPr>
      <w:spacing w:after="240"/>
      <w:ind w:left="360" w:firstLine="288"/>
      <w:jc w:val="both"/>
    </w:pPr>
    <w:rPr>
      <w:rFonts w:ascii="Helvetica LT Std" w:hAnsi="Helvetica LT Std"/>
      <w:color w:val="000000"/>
      <w:sz w:val="24"/>
    </w:rPr>
  </w:style>
  <w:style w:type="paragraph" w:customStyle="1" w:styleId="PQ">
    <w:name w:val="PQ"/>
    <w:link w:val="PQChar"/>
    <w:rsid w:val="00C46891"/>
    <w:pPr>
      <w:tabs>
        <w:tab w:val="left" w:pos="360"/>
      </w:tabs>
      <w:spacing w:after="120"/>
      <w:ind w:left="360" w:hanging="360"/>
      <w:jc w:val="both"/>
    </w:pPr>
    <w:rPr>
      <w:color w:val="000000"/>
    </w:rPr>
  </w:style>
  <w:style w:type="paragraph" w:customStyle="1" w:styleId="PR">
    <w:name w:val="PR"/>
    <w:rsid w:val="00C46891"/>
    <w:pPr>
      <w:spacing w:after="240"/>
      <w:ind w:left="360" w:firstLine="288"/>
      <w:jc w:val="both"/>
    </w:pPr>
    <w:rPr>
      <w:color w:val="000000"/>
    </w:rPr>
  </w:style>
  <w:style w:type="paragraph" w:customStyle="1" w:styleId="EXAMPLE">
    <w:name w:val="EXAMPLE"/>
    <w:rsid w:val="00C46891"/>
    <w:pPr>
      <w:pBdr>
        <w:top w:val="single" w:sz="4" w:space="1" w:color="auto"/>
        <w:bottom w:val="single" w:sz="4" w:space="1" w:color="auto"/>
      </w:pBdr>
      <w:spacing w:before="120" w:after="120"/>
      <w:ind w:left="360" w:right="360" w:firstLine="288"/>
      <w:jc w:val="both"/>
    </w:pPr>
  </w:style>
  <w:style w:type="paragraph" w:customStyle="1" w:styleId="EXAMPLE1">
    <w:name w:val="EXAMPLE1"/>
    <w:rsid w:val="00C46891"/>
    <w:pPr>
      <w:pBdr>
        <w:top w:val="single" w:sz="4" w:space="1" w:color="auto"/>
      </w:pBdr>
      <w:spacing w:before="120" w:after="120"/>
      <w:ind w:left="360" w:right="360" w:firstLine="288"/>
      <w:jc w:val="both"/>
    </w:pPr>
  </w:style>
  <w:style w:type="paragraph" w:customStyle="1" w:styleId="EXAMPLE2">
    <w:name w:val="EXAMPLE2"/>
    <w:rsid w:val="00C46891"/>
    <w:pPr>
      <w:spacing w:before="120" w:after="120"/>
      <w:ind w:left="360" w:right="360" w:firstLine="288"/>
      <w:jc w:val="both"/>
    </w:pPr>
  </w:style>
  <w:style w:type="paragraph" w:customStyle="1" w:styleId="EXAMPLE3">
    <w:name w:val="EXAMPLE3"/>
    <w:rsid w:val="00C46891"/>
    <w:pPr>
      <w:pBdr>
        <w:bottom w:val="single" w:sz="4" w:space="1" w:color="auto"/>
      </w:pBdr>
      <w:spacing w:before="120" w:after="120"/>
      <w:ind w:left="360" w:right="360" w:firstLine="288"/>
      <w:jc w:val="both"/>
    </w:pPr>
  </w:style>
  <w:style w:type="paragraph" w:customStyle="1" w:styleId="PS">
    <w:name w:val="PS"/>
    <w:rsid w:val="00C46891"/>
    <w:pPr>
      <w:ind w:left="360"/>
      <w:jc w:val="both"/>
    </w:pPr>
    <w:rPr>
      <w:color w:val="000000"/>
    </w:rPr>
  </w:style>
  <w:style w:type="paragraph" w:customStyle="1" w:styleId="PN">
    <w:name w:val="PN"/>
    <w:rsid w:val="00C46891"/>
    <w:pPr>
      <w:spacing w:after="240"/>
      <w:ind w:left="720" w:firstLine="288"/>
      <w:jc w:val="both"/>
    </w:pPr>
    <w:rPr>
      <w:rFonts w:ascii="Helvetica LT Std" w:eastAsia="MS Mincho" w:hAnsi="Helvetica LT Std"/>
      <w:color w:val="000000"/>
    </w:rPr>
  </w:style>
  <w:style w:type="paragraph" w:customStyle="1" w:styleId="TOC">
    <w:name w:val="TOC"/>
    <w:rsid w:val="00C46891"/>
    <w:pPr>
      <w:tabs>
        <w:tab w:val="left" w:leader="dot" w:pos="6984"/>
      </w:tabs>
      <w:ind w:left="720" w:hanging="720"/>
    </w:pPr>
    <w:rPr>
      <w:rFonts w:ascii="Helvetica LT Std" w:eastAsia="MS Mincho" w:hAnsi="Helvetica LT Std"/>
      <w:color w:val="000000"/>
      <w:sz w:val="24"/>
    </w:rPr>
  </w:style>
  <w:style w:type="paragraph" w:customStyle="1" w:styleId="PP">
    <w:name w:val="PP"/>
    <w:rsid w:val="00C46891"/>
    <w:pPr>
      <w:pBdr>
        <w:top w:val="single" w:sz="4" w:space="1" w:color="auto"/>
        <w:bottom w:val="single" w:sz="4" w:space="1" w:color="auto"/>
      </w:pBdr>
      <w:spacing w:after="240"/>
      <w:jc w:val="both"/>
    </w:pPr>
    <w:rPr>
      <w:color w:val="000000"/>
      <w:sz w:val="24"/>
    </w:rPr>
  </w:style>
  <w:style w:type="paragraph" w:customStyle="1" w:styleId="PO">
    <w:name w:val="PO"/>
    <w:rsid w:val="00C46891"/>
    <w:pPr>
      <w:spacing w:after="240"/>
      <w:jc w:val="both"/>
    </w:pPr>
    <w:rPr>
      <w:rFonts w:ascii="Helvetica LT Std" w:hAnsi="Helvetica LT Std"/>
      <w:color w:val="000000"/>
      <w:w w:val="95"/>
      <w:szCs w:val="16"/>
    </w:rPr>
  </w:style>
  <w:style w:type="paragraph" w:styleId="Header">
    <w:name w:val="header"/>
    <w:basedOn w:val="Normal"/>
    <w:link w:val="HeaderChar"/>
    <w:rsid w:val="00C46891"/>
    <w:pPr>
      <w:tabs>
        <w:tab w:val="center" w:pos="4320"/>
        <w:tab w:val="right" w:pos="8640"/>
      </w:tabs>
    </w:pPr>
    <w:rPr>
      <w:rFonts w:ascii="Times New Roman" w:hAnsi="Times New Roman"/>
      <w:sz w:val="24"/>
      <w:szCs w:val="24"/>
    </w:rPr>
  </w:style>
  <w:style w:type="paragraph" w:styleId="Footer">
    <w:name w:val="footer"/>
    <w:basedOn w:val="Normal"/>
    <w:link w:val="FooterChar"/>
    <w:rsid w:val="00C46891"/>
    <w:pPr>
      <w:tabs>
        <w:tab w:val="center" w:pos="4320"/>
        <w:tab w:val="right" w:pos="8640"/>
      </w:tabs>
    </w:pPr>
    <w:rPr>
      <w:rFonts w:ascii="Times New Roman" w:hAnsi="Times New Roman"/>
      <w:sz w:val="24"/>
      <w:szCs w:val="24"/>
    </w:rPr>
  </w:style>
  <w:style w:type="paragraph" w:styleId="Caption">
    <w:name w:val="caption"/>
    <w:basedOn w:val="Normal"/>
    <w:next w:val="Normal"/>
    <w:qFormat/>
    <w:rsid w:val="00C46891"/>
    <w:pPr>
      <w:jc w:val="right"/>
    </w:pPr>
    <w:rPr>
      <w:rFonts w:ascii="Arial" w:hAnsi="Arial"/>
      <w:b/>
      <w:sz w:val="24"/>
      <w:szCs w:val="24"/>
    </w:rPr>
  </w:style>
  <w:style w:type="paragraph" w:customStyle="1" w:styleId="GUIDEX">
    <w:name w:val="GUIDEX"/>
    <w:rsid w:val="00C46891"/>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C46891"/>
    <w:pPr>
      <w:tabs>
        <w:tab w:val="clear" w:pos="6984"/>
        <w:tab w:val="left" w:pos="240"/>
        <w:tab w:val="left" w:pos="480"/>
        <w:tab w:val="left" w:pos="720"/>
        <w:tab w:val="left" w:pos="965"/>
        <w:tab w:val="right" w:leader="dot" w:pos="4320"/>
      </w:tabs>
    </w:pPr>
  </w:style>
  <w:style w:type="paragraph" w:styleId="FootnoteText">
    <w:name w:val="footnote text"/>
    <w:basedOn w:val="Normal"/>
    <w:rsid w:val="00C46891"/>
    <w:rPr>
      <w:rFonts w:ascii="Times New Roman" w:hAnsi="Times New Roman"/>
      <w:szCs w:val="24"/>
    </w:rPr>
  </w:style>
  <w:style w:type="character" w:styleId="FootnoteReference">
    <w:name w:val="footnote reference"/>
    <w:rsid w:val="00C46891"/>
    <w:rPr>
      <w:vertAlign w:val="superscript"/>
    </w:rPr>
  </w:style>
  <w:style w:type="paragraph" w:customStyle="1" w:styleId="BHead">
    <w:name w:val="BHead"/>
    <w:rsid w:val="00C46891"/>
    <w:pPr>
      <w:spacing w:before="288"/>
    </w:pPr>
    <w:rPr>
      <w:b/>
      <w:sz w:val="26"/>
    </w:rPr>
  </w:style>
  <w:style w:type="paragraph" w:customStyle="1" w:styleId="AHead">
    <w:name w:val="AHead"/>
    <w:rsid w:val="00C46891"/>
    <w:pPr>
      <w:jc w:val="center"/>
    </w:pPr>
    <w:rPr>
      <w:b/>
      <w:caps/>
      <w:noProof/>
      <w:sz w:val="28"/>
    </w:rPr>
  </w:style>
  <w:style w:type="paragraph" w:customStyle="1" w:styleId="Style2">
    <w:name w:val="Style2"/>
    <w:basedOn w:val="Header"/>
    <w:rsid w:val="00C46891"/>
    <w:pPr>
      <w:tabs>
        <w:tab w:val="clear" w:pos="4320"/>
        <w:tab w:val="clear" w:pos="8640"/>
      </w:tabs>
      <w:ind w:left="907" w:right="792"/>
      <w:jc w:val="both"/>
    </w:pPr>
    <w:rPr>
      <w:b/>
      <w:sz w:val="20"/>
      <w:szCs w:val="20"/>
    </w:rPr>
  </w:style>
  <w:style w:type="paragraph" w:customStyle="1" w:styleId="Standard">
    <w:name w:val="Standard"/>
    <w:rsid w:val="00C46891"/>
    <w:pPr>
      <w:spacing w:before="144" w:line="230" w:lineRule="auto"/>
      <w:jc w:val="both"/>
    </w:pPr>
    <w:rPr>
      <w:noProof/>
      <w:color w:val="000000"/>
    </w:rPr>
  </w:style>
  <w:style w:type="paragraph" w:customStyle="1" w:styleId="BasicParagraph">
    <w:name w:val="[Basic Paragraph]"/>
    <w:basedOn w:val="Normal"/>
    <w:rsid w:val="008405D2"/>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C46891"/>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C46891"/>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C46891"/>
    <w:pPr>
      <w:spacing w:after="240"/>
      <w:ind w:left="432" w:right="432" w:firstLine="432"/>
      <w:jc w:val="both"/>
    </w:pPr>
    <w:rPr>
      <w:rFonts w:ascii="Helvetica LT Std" w:hAnsi="Helvetica LT Std"/>
      <w:color w:val="000000"/>
      <w:sz w:val="24"/>
    </w:rPr>
  </w:style>
  <w:style w:type="paragraph" w:customStyle="1" w:styleId="PART">
    <w:name w:val="PART"/>
    <w:rsid w:val="00C46891"/>
    <w:pPr>
      <w:spacing w:after="240"/>
      <w:jc w:val="center"/>
    </w:pPr>
    <w:rPr>
      <w:rFonts w:ascii="Tw Cen MT" w:eastAsia="Arial Unicode MS" w:hAnsi="Tw Cen MT"/>
      <w:b/>
      <w:caps/>
      <w:w w:val="110"/>
      <w:sz w:val="44"/>
      <w:szCs w:val="32"/>
    </w:rPr>
  </w:style>
  <w:style w:type="character" w:styleId="CommentReference">
    <w:name w:val="annotation reference"/>
    <w:rsid w:val="00596690"/>
    <w:rPr>
      <w:sz w:val="16"/>
      <w:szCs w:val="16"/>
    </w:rPr>
  </w:style>
  <w:style w:type="paragraph" w:styleId="CommentText">
    <w:name w:val="annotation text"/>
    <w:basedOn w:val="Normal"/>
    <w:link w:val="CommentTextChar"/>
    <w:rsid w:val="00596690"/>
  </w:style>
  <w:style w:type="character" w:customStyle="1" w:styleId="CommentTextChar">
    <w:name w:val="Comment Text Char"/>
    <w:link w:val="CommentText"/>
    <w:rsid w:val="00596690"/>
    <w:rPr>
      <w:rFonts w:ascii="Perpetua" w:hAnsi="Perpetua"/>
    </w:rPr>
  </w:style>
  <w:style w:type="paragraph" w:styleId="CommentSubject">
    <w:name w:val="annotation subject"/>
    <w:basedOn w:val="CommentText"/>
    <w:next w:val="CommentText"/>
    <w:link w:val="CommentSubjectChar"/>
    <w:rsid w:val="00596690"/>
    <w:rPr>
      <w:b/>
      <w:bCs/>
    </w:rPr>
  </w:style>
  <w:style w:type="character" w:customStyle="1" w:styleId="CommentSubjectChar">
    <w:name w:val="Comment Subject Char"/>
    <w:link w:val="CommentSubject"/>
    <w:rsid w:val="00596690"/>
    <w:rPr>
      <w:rFonts w:ascii="Perpetua" w:hAnsi="Perpetua"/>
      <w:b/>
      <w:bCs/>
    </w:rPr>
  </w:style>
  <w:style w:type="character" w:styleId="Hyperlink">
    <w:name w:val="Hyperlink"/>
    <w:rsid w:val="00C46891"/>
    <w:rPr>
      <w:color w:val="0000FF"/>
      <w:u w:val="single"/>
    </w:rPr>
  </w:style>
  <w:style w:type="character" w:styleId="FollowedHyperlink">
    <w:name w:val="FollowedHyperlink"/>
    <w:rsid w:val="00A75B77"/>
    <w:rPr>
      <w:color w:val="800080"/>
      <w:u w:val="single"/>
    </w:rPr>
  </w:style>
  <w:style w:type="character" w:customStyle="1" w:styleId="PAChar">
    <w:name w:val="PA Char"/>
    <w:link w:val="PA"/>
    <w:rsid w:val="007D6C95"/>
    <w:rPr>
      <w:rFonts w:ascii="Helvetica LT Std" w:hAnsi="Helvetica LT Std"/>
      <w:color w:val="000000"/>
      <w:sz w:val="24"/>
    </w:rPr>
  </w:style>
  <w:style w:type="character" w:customStyle="1" w:styleId="PQChar">
    <w:name w:val="PQ Char"/>
    <w:link w:val="PQ"/>
    <w:rsid w:val="00C46891"/>
    <w:rPr>
      <w:color w:val="000000"/>
    </w:rPr>
  </w:style>
  <w:style w:type="table" w:styleId="TableGrid">
    <w:name w:val="Table Grid"/>
    <w:basedOn w:val="TableNormal"/>
    <w:rsid w:val="007D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7D6C95"/>
    <w:pPr>
      <w:tabs>
        <w:tab w:val="clear" w:pos="240"/>
        <w:tab w:val="clear" w:pos="480"/>
        <w:tab w:val="clear" w:pos="720"/>
        <w:tab w:val="right" w:pos="4680"/>
      </w:tabs>
    </w:pPr>
  </w:style>
  <w:style w:type="paragraph" w:customStyle="1" w:styleId="PCB">
    <w:name w:val="PCB"/>
    <w:basedOn w:val="PC"/>
    <w:rsid w:val="00C46891"/>
    <w:pPr>
      <w:numPr>
        <w:numId w:val="23"/>
      </w:numPr>
    </w:pPr>
  </w:style>
  <w:style w:type="paragraph" w:customStyle="1" w:styleId="PFB">
    <w:name w:val="PFB"/>
    <w:rsid w:val="00C46891"/>
    <w:pPr>
      <w:numPr>
        <w:numId w:val="24"/>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7D6C95"/>
    <w:rPr>
      <w:rFonts w:ascii="Perpetua Std" w:hAnsi="Perpetua Std"/>
    </w:rPr>
  </w:style>
  <w:style w:type="paragraph" w:styleId="NoSpacing">
    <w:name w:val="No Spacing"/>
    <w:qFormat/>
    <w:rsid w:val="007D6C95"/>
    <w:rPr>
      <w:rFonts w:ascii="Perpetua" w:hAnsi="Perpetua"/>
    </w:rPr>
  </w:style>
  <w:style w:type="paragraph" w:customStyle="1" w:styleId="PCA">
    <w:name w:val="PCA"/>
    <w:rsid w:val="00C46891"/>
    <w:pPr>
      <w:numPr>
        <w:numId w:val="20"/>
      </w:numPr>
      <w:tabs>
        <w:tab w:val="left" w:pos="720"/>
      </w:tabs>
      <w:spacing w:after="240"/>
      <w:jc w:val="both"/>
    </w:pPr>
    <w:rPr>
      <w:rFonts w:ascii="Helvetica LT Std" w:hAnsi="Helvetica LT Std"/>
      <w:sz w:val="24"/>
    </w:rPr>
  </w:style>
  <w:style w:type="paragraph" w:customStyle="1" w:styleId="PHB">
    <w:name w:val="PHB"/>
    <w:rsid w:val="00C46891"/>
    <w:pPr>
      <w:numPr>
        <w:numId w:val="21"/>
      </w:numPr>
      <w:spacing w:after="240"/>
      <w:jc w:val="both"/>
    </w:pPr>
    <w:rPr>
      <w:rFonts w:ascii="Helvetica LT Std" w:hAnsi="Helvetica LT Std"/>
      <w:sz w:val="24"/>
    </w:rPr>
  </w:style>
  <w:style w:type="character" w:customStyle="1" w:styleId="IndexChar">
    <w:name w:val="Index Char"/>
    <w:link w:val="Index"/>
    <w:rsid w:val="007D6C95"/>
    <w:rPr>
      <w:rFonts w:ascii="Helvetica LT Std" w:eastAsia="MS Mincho" w:hAnsi="Helvetica LT Std"/>
      <w:color w:val="000000"/>
      <w:sz w:val="24"/>
    </w:rPr>
  </w:style>
  <w:style w:type="character" w:styleId="Emphasis">
    <w:name w:val="Emphasis"/>
    <w:qFormat/>
    <w:rsid w:val="00C46891"/>
    <w:rPr>
      <w:b/>
      <w:bCs/>
      <w:i w:val="0"/>
      <w:iCs w:val="0"/>
    </w:rPr>
  </w:style>
  <w:style w:type="paragraph" w:styleId="NormalWeb">
    <w:name w:val="Normal (Web)"/>
    <w:basedOn w:val="Normal"/>
    <w:rsid w:val="00C46891"/>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C46891"/>
  </w:style>
  <w:style w:type="character" w:customStyle="1" w:styleId="EndnoteTextChar">
    <w:name w:val="Endnote Text Char"/>
    <w:link w:val="EndnoteText"/>
    <w:rsid w:val="007D6C95"/>
    <w:rPr>
      <w:rFonts w:ascii="Perpetua" w:hAnsi="Perpetua"/>
    </w:rPr>
  </w:style>
  <w:style w:type="character" w:styleId="EndnoteReference">
    <w:name w:val="endnote reference"/>
    <w:rsid w:val="00C46891"/>
    <w:rPr>
      <w:vertAlign w:val="superscript"/>
    </w:rPr>
  </w:style>
  <w:style w:type="character" w:customStyle="1" w:styleId="EmailStyle611">
    <w:name w:val="EmailStyle611"/>
    <w:rsid w:val="00C46891"/>
    <w:rPr>
      <w:rFonts w:ascii="Arial" w:hAnsi="Arial" w:cs="Arial"/>
      <w:color w:val="auto"/>
      <w:sz w:val="20"/>
      <w:szCs w:val="20"/>
    </w:rPr>
  </w:style>
  <w:style w:type="character" w:customStyle="1" w:styleId="pa-h2">
    <w:name w:val="pa-h2"/>
    <w:rsid w:val="00C46891"/>
    <w:rPr>
      <w:rFonts w:ascii="Helvetica LT Std" w:hAnsi="Helvetica LT Std" w:hint="default"/>
      <w:color w:val="000000"/>
      <w:sz w:val="24"/>
      <w:szCs w:val="24"/>
    </w:rPr>
  </w:style>
  <w:style w:type="character" w:customStyle="1" w:styleId="HeaderChar">
    <w:name w:val="Header Char"/>
    <w:link w:val="Header"/>
    <w:rsid w:val="00C46891"/>
    <w:rPr>
      <w:sz w:val="24"/>
      <w:szCs w:val="24"/>
    </w:rPr>
  </w:style>
  <w:style w:type="character" w:customStyle="1" w:styleId="FooterChar">
    <w:name w:val="Footer Char"/>
    <w:link w:val="Footer"/>
    <w:rsid w:val="00C46891"/>
    <w:rPr>
      <w:sz w:val="24"/>
      <w:szCs w:val="24"/>
    </w:rPr>
  </w:style>
  <w:style w:type="paragraph" w:styleId="Subtitle">
    <w:name w:val="Subtitle"/>
    <w:basedOn w:val="Normal"/>
    <w:link w:val="SubtitleChar"/>
    <w:qFormat/>
    <w:rsid w:val="00C46891"/>
    <w:pPr>
      <w:keepNext/>
      <w:spacing w:after="240"/>
    </w:pPr>
    <w:rPr>
      <w:rFonts w:ascii="Times New Roman" w:hAnsi="Times New Roman" w:cs="Arial"/>
      <w:b/>
      <w:sz w:val="24"/>
      <w:szCs w:val="24"/>
    </w:rPr>
  </w:style>
  <w:style w:type="character" w:customStyle="1" w:styleId="SubtitleChar">
    <w:name w:val="Subtitle Char"/>
    <w:link w:val="Subtitle"/>
    <w:rsid w:val="00C46891"/>
    <w:rPr>
      <w:rFonts w:cs="Arial"/>
      <w:b/>
      <w:sz w:val="24"/>
      <w:szCs w:val="24"/>
    </w:rPr>
  </w:style>
  <w:style w:type="character" w:customStyle="1" w:styleId="PlainTextChar">
    <w:name w:val="Plain Text Char"/>
    <w:link w:val="PlainText"/>
    <w:rsid w:val="00C46891"/>
    <w:rPr>
      <w:rFonts w:ascii="Courier New" w:hAnsi="Courier New" w:cs="Courier New"/>
      <w:sz w:val="24"/>
      <w:szCs w:val="24"/>
    </w:rPr>
  </w:style>
  <w:style w:type="character" w:customStyle="1" w:styleId="BalloonTextChar">
    <w:name w:val="Balloon Text Char"/>
    <w:link w:val="BalloonText"/>
    <w:rsid w:val="00C46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46891"/>
    <w:rPr>
      <w:rFonts w:ascii="Perpetua" w:hAnsi="Perpetua"/>
    </w:rPr>
  </w:style>
  <w:style w:type="paragraph" w:styleId="Heading1">
    <w:name w:val="heading 1"/>
    <w:basedOn w:val="Normal"/>
    <w:next w:val="Normal"/>
    <w:qFormat/>
    <w:rsid w:val="00C46891"/>
    <w:pPr>
      <w:keepNext/>
      <w:outlineLvl w:val="0"/>
    </w:pPr>
    <w:rPr>
      <w:b/>
    </w:rPr>
  </w:style>
  <w:style w:type="paragraph" w:styleId="Heading2">
    <w:name w:val="heading 2"/>
    <w:basedOn w:val="Normal"/>
    <w:next w:val="Normal"/>
    <w:qFormat/>
    <w:rsid w:val="00C46891"/>
    <w:pPr>
      <w:keepNext/>
      <w:spacing w:before="240" w:after="60"/>
      <w:outlineLvl w:val="1"/>
    </w:pPr>
    <w:rPr>
      <w:rFonts w:ascii="Arial" w:hAnsi="Arial"/>
      <w:b/>
      <w:i/>
      <w:sz w:val="24"/>
    </w:rPr>
  </w:style>
  <w:style w:type="paragraph" w:styleId="Heading3">
    <w:name w:val="heading 3"/>
    <w:basedOn w:val="Normal"/>
    <w:next w:val="Normal"/>
    <w:qFormat/>
    <w:rsid w:val="00C4689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6891"/>
    <w:rPr>
      <w:rFonts w:ascii="Tahoma" w:hAnsi="Tahoma" w:cs="Tahoma"/>
      <w:sz w:val="16"/>
      <w:szCs w:val="16"/>
    </w:rPr>
  </w:style>
  <w:style w:type="paragraph" w:customStyle="1" w:styleId="PA">
    <w:name w:val="PA"/>
    <w:next w:val="Normal"/>
    <w:link w:val="PAChar"/>
    <w:rsid w:val="00C46891"/>
    <w:pPr>
      <w:spacing w:after="240"/>
      <w:ind w:firstLine="288"/>
      <w:jc w:val="both"/>
    </w:pPr>
    <w:rPr>
      <w:rFonts w:ascii="Helvetica LT Std" w:hAnsi="Helvetica LT Std"/>
      <w:color w:val="000000"/>
      <w:sz w:val="24"/>
    </w:rPr>
  </w:style>
  <w:style w:type="paragraph" w:styleId="PlainText">
    <w:name w:val="Plain Text"/>
    <w:basedOn w:val="Normal"/>
    <w:link w:val="PlainTextChar"/>
    <w:rsid w:val="00C46891"/>
    <w:rPr>
      <w:rFonts w:ascii="Courier New" w:hAnsi="Courier New" w:cs="Courier New"/>
      <w:sz w:val="24"/>
      <w:szCs w:val="24"/>
    </w:rPr>
  </w:style>
  <w:style w:type="paragraph" w:customStyle="1" w:styleId="QU">
    <w:name w:val="QU"/>
    <w:rsid w:val="00C46891"/>
    <w:pPr>
      <w:spacing w:after="240"/>
      <w:jc w:val="both"/>
    </w:pPr>
    <w:rPr>
      <w:rFonts w:ascii="Helvetica LT Std" w:hAnsi="Helvetica LT Std"/>
      <w:b/>
      <w:color w:val="000080"/>
      <w:sz w:val="24"/>
    </w:rPr>
  </w:style>
  <w:style w:type="paragraph" w:customStyle="1" w:styleId="PD">
    <w:name w:val="PD"/>
    <w:rsid w:val="00C46891"/>
    <w:pPr>
      <w:spacing w:after="240"/>
      <w:ind w:left="720" w:firstLine="288"/>
      <w:jc w:val="both"/>
    </w:pPr>
    <w:rPr>
      <w:rFonts w:ascii="Helvetica LT Std" w:hAnsi="Helvetica LT Std"/>
      <w:color w:val="000000"/>
      <w:sz w:val="24"/>
    </w:rPr>
  </w:style>
  <w:style w:type="paragraph" w:customStyle="1" w:styleId="HA">
    <w:name w:val="HA"/>
    <w:rsid w:val="00C46891"/>
    <w:pPr>
      <w:spacing w:after="240"/>
      <w:jc w:val="center"/>
    </w:pPr>
    <w:rPr>
      <w:rFonts w:ascii="Helvetica LT Std" w:hAnsi="Helvetica LT Std"/>
      <w:b/>
      <w:caps/>
      <w:w w:val="110"/>
      <w:sz w:val="36"/>
      <w:szCs w:val="32"/>
    </w:rPr>
  </w:style>
  <w:style w:type="paragraph" w:customStyle="1" w:styleId="PB">
    <w:name w:val="PB"/>
    <w:rsid w:val="00C46891"/>
    <w:pPr>
      <w:spacing w:after="240"/>
      <w:jc w:val="both"/>
    </w:pPr>
    <w:rPr>
      <w:rFonts w:ascii="Helvetica LT Std" w:hAnsi="Helvetica LT Std"/>
      <w:color w:val="000000"/>
      <w:sz w:val="24"/>
    </w:rPr>
  </w:style>
  <w:style w:type="paragraph" w:customStyle="1" w:styleId="PC">
    <w:name w:val="PC"/>
    <w:rsid w:val="00C46891"/>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C46891"/>
    <w:pPr>
      <w:spacing w:before="120" w:after="240"/>
      <w:jc w:val="center"/>
    </w:pPr>
    <w:rPr>
      <w:rFonts w:ascii="Helvetica LT Std" w:hAnsi="Helvetica LT Std"/>
      <w:b/>
      <w:color w:val="000080"/>
      <w:w w:val="105"/>
      <w:sz w:val="32"/>
    </w:rPr>
  </w:style>
  <w:style w:type="paragraph" w:customStyle="1" w:styleId="HC">
    <w:name w:val="HC"/>
    <w:rsid w:val="00C46891"/>
    <w:pPr>
      <w:tabs>
        <w:tab w:val="left" w:pos="284"/>
      </w:tabs>
      <w:spacing w:before="120" w:after="120"/>
      <w:jc w:val="center"/>
    </w:pPr>
    <w:rPr>
      <w:rFonts w:ascii="Helvetica LT Std" w:hAnsi="Helvetica LT Std"/>
      <w:b/>
      <w:color w:val="333333"/>
      <w:w w:val="110"/>
      <w:sz w:val="28"/>
    </w:rPr>
  </w:style>
  <w:style w:type="paragraph" w:customStyle="1" w:styleId="PH">
    <w:name w:val="PH"/>
    <w:rsid w:val="00C46891"/>
    <w:pPr>
      <w:tabs>
        <w:tab w:val="left" w:pos="360"/>
      </w:tabs>
      <w:spacing w:after="240"/>
      <w:ind w:left="360" w:hanging="360"/>
      <w:jc w:val="both"/>
    </w:pPr>
    <w:rPr>
      <w:rFonts w:ascii="Helvetica LT Std" w:hAnsi="Helvetica LT Std"/>
      <w:color w:val="000000"/>
      <w:sz w:val="24"/>
    </w:rPr>
  </w:style>
  <w:style w:type="character" w:styleId="PageNumber">
    <w:name w:val="page number"/>
    <w:rsid w:val="00C46891"/>
  </w:style>
  <w:style w:type="paragraph" w:customStyle="1" w:styleId="HD">
    <w:name w:val="HD"/>
    <w:rsid w:val="00C46891"/>
    <w:pPr>
      <w:spacing w:before="120" w:after="120"/>
      <w:jc w:val="center"/>
    </w:pPr>
    <w:rPr>
      <w:rFonts w:ascii="Helvetica LT Std" w:hAnsi="Helvetica LT Std"/>
      <w:b/>
      <w:w w:val="90"/>
      <w:sz w:val="26"/>
    </w:rPr>
  </w:style>
  <w:style w:type="paragraph" w:customStyle="1" w:styleId="HE">
    <w:name w:val="HE"/>
    <w:rsid w:val="00C46891"/>
    <w:pPr>
      <w:spacing w:before="120" w:after="120"/>
      <w:jc w:val="center"/>
    </w:pPr>
    <w:rPr>
      <w:rFonts w:ascii="Helvetica LT Std" w:hAnsi="Helvetica LT Std"/>
      <w:b/>
      <w:sz w:val="24"/>
    </w:rPr>
  </w:style>
  <w:style w:type="paragraph" w:customStyle="1" w:styleId="PI">
    <w:name w:val="PI"/>
    <w:rsid w:val="00C46891"/>
    <w:pPr>
      <w:spacing w:after="240"/>
      <w:ind w:left="360" w:hanging="360"/>
      <w:jc w:val="both"/>
    </w:pPr>
    <w:rPr>
      <w:rFonts w:ascii="Helvetica LT Std" w:hAnsi="Helvetica LT Std"/>
      <w:color w:val="000000"/>
      <w:sz w:val="24"/>
    </w:rPr>
  </w:style>
  <w:style w:type="paragraph" w:customStyle="1" w:styleId="PE">
    <w:name w:val="PE"/>
    <w:rsid w:val="00C46891"/>
    <w:pPr>
      <w:spacing w:after="240"/>
      <w:ind w:left="720"/>
      <w:jc w:val="both"/>
    </w:pPr>
    <w:rPr>
      <w:rFonts w:ascii="Helvetica LT Std" w:hAnsi="Helvetica LT Std"/>
      <w:color w:val="000000"/>
      <w:sz w:val="24"/>
    </w:rPr>
  </w:style>
  <w:style w:type="paragraph" w:customStyle="1" w:styleId="PG">
    <w:name w:val="PG"/>
    <w:rsid w:val="00C46891"/>
    <w:pPr>
      <w:spacing w:after="240"/>
      <w:ind w:left="360"/>
      <w:jc w:val="both"/>
    </w:pPr>
    <w:rPr>
      <w:rFonts w:ascii="Helvetica LT Std" w:hAnsi="Helvetica LT Std"/>
      <w:color w:val="000000"/>
      <w:sz w:val="24"/>
    </w:rPr>
  </w:style>
  <w:style w:type="paragraph" w:customStyle="1" w:styleId="HF">
    <w:name w:val="HF"/>
    <w:rsid w:val="00C46891"/>
    <w:pPr>
      <w:spacing w:before="120" w:after="120"/>
      <w:jc w:val="center"/>
    </w:pPr>
    <w:rPr>
      <w:rFonts w:ascii="Tw Cen MT" w:hAnsi="Tw Cen MT"/>
      <w:b/>
    </w:rPr>
  </w:style>
  <w:style w:type="paragraph" w:customStyle="1" w:styleId="PF">
    <w:name w:val="PF"/>
    <w:rsid w:val="00C46891"/>
    <w:pPr>
      <w:tabs>
        <w:tab w:val="left" w:pos="1080"/>
      </w:tabs>
      <w:spacing w:after="240"/>
      <w:ind w:left="1080" w:hanging="360"/>
      <w:jc w:val="both"/>
    </w:pPr>
    <w:rPr>
      <w:rFonts w:ascii="Helvetica LT Std" w:hAnsi="Helvetica LT Std"/>
      <w:color w:val="000000"/>
      <w:sz w:val="24"/>
    </w:rPr>
  </w:style>
  <w:style w:type="paragraph" w:customStyle="1" w:styleId="PK">
    <w:name w:val="PK"/>
    <w:rsid w:val="00C46891"/>
    <w:pPr>
      <w:spacing w:after="240"/>
      <w:ind w:left="360" w:firstLine="288"/>
      <w:jc w:val="both"/>
    </w:pPr>
    <w:rPr>
      <w:rFonts w:ascii="Helvetica LT Std" w:hAnsi="Helvetica LT Std"/>
      <w:color w:val="000000"/>
      <w:sz w:val="24"/>
    </w:rPr>
  </w:style>
  <w:style w:type="paragraph" w:customStyle="1" w:styleId="PQ">
    <w:name w:val="PQ"/>
    <w:link w:val="PQChar"/>
    <w:rsid w:val="00C46891"/>
    <w:pPr>
      <w:tabs>
        <w:tab w:val="left" w:pos="360"/>
      </w:tabs>
      <w:spacing w:after="120"/>
      <w:ind w:left="360" w:hanging="360"/>
      <w:jc w:val="both"/>
    </w:pPr>
    <w:rPr>
      <w:color w:val="000000"/>
    </w:rPr>
  </w:style>
  <w:style w:type="paragraph" w:customStyle="1" w:styleId="PR">
    <w:name w:val="PR"/>
    <w:rsid w:val="00C46891"/>
    <w:pPr>
      <w:spacing w:after="240"/>
      <w:ind w:left="360" w:firstLine="288"/>
      <w:jc w:val="both"/>
    </w:pPr>
    <w:rPr>
      <w:color w:val="000000"/>
    </w:rPr>
  </w:style>
  <w:style w:type="paragraph" w:customStyle="1" w:styleId="EXAMPLE">
    <w:name w:val="EXAMPLE"/>
    <w:rsid w:val="00C46891"/>
    <w:pPr>
      <w:pBdr>
        <w:top w:val="single" w:sz="4" w:space="1" w:color="auto"/>
        <w:bottom w:val="single" w:sz="4" w:space="1" w:color="auto"/>
      </w:pBdr>
      <w:spacing w:before="120" w:after="120"/>
      <w:ind w:left="360" w:right="360" w:firstLine="288"/>
      <w:jc w:val="both"/>
    </w:pPr>
  </w:style>
  <w:style w:type="paragraph" w:customStyle="1" w:styleId="EXAMPLE1">
    <w:name w:val="EXAMPLE1"/>
    <w:rsid w:val="00C46891"/>
    <w:pPr>
      <w:pBdr>
        <w:top w:val="single" w:sz="4" w:space="1" w:color="auto"/>
      </w:pBdr>
      <w:spacing w:before="120" w:after="120"/>
      <w:ind w:left="360" w:right="360" w:firstLine="288"/>
      <w:jc w:val="both"/>
    </w:pPr>
  </w:style>
  <w:style w:type="paragraph" w:customStyle="1" w:styleId="EXAMPLE2">
    <w:name w:val="EXAMPLE2"/>
    <w:rsid w:val="00C46891"/>
    <w:pPr>
      <w:spacing w:before="120" w:after="120"/>
      <w:ind w:left="360" w:right="360" w:firstLine="288"/>
      <w:jc w:val="both"/>
    </w:pPr>
  </w:style>
  <w:style w:type="paragraph" w:customStyle="1" w:styleId="EXAMPLE3">
    <w:name w:val="EXAMPLE3"/>
    <w:rsid w:val="00C46891"/>
    <w:pPr>
      <w:pBdr>
        <w:bottom w:val="single" w:sz="4" w:space="1" w:color="auto"/>
      </w:pBdr>
      <w:spacing w:before="120" w:after="120"/>
      <w:ind w:left="360" w:right="360" w:firstLine="288"/>
      <w:jc w:val="both"/>
    </w:pPr>
  </w:style>
  <w:style w:type="paragraph" w:customStyle="1" w:styleId="PS">
    <w:name w:val="PS"/>
    <w:rsid w:val="00C46891"/>
    <w:pPr>
      <w:ind w:left="360"/>
      <w:jc w:val="both"/>
    </w:pPr>
    <w:rPr>
      <w:color w:val="000000"/>
    </w:rPr>
  </w:style>
  <w:style w:type="paragraph" w:customStyle="1" w:styleId="PN">
    <w:name w:val="PN"/>
    <w:rsid w:val="00C46891"/>
    <w:pPr>
      <w:spacing w:after="240"/>
      <w:ind w:left="720" w:firstLine="288"/>
      <w:jc w:val="both"/>
    </w:pPr>
    <w:rPr>
      <w:rFonts w:ascii="Helvetica LT Std" w:eastAsia="MS Mincho" w:hAnsi="Helvetica LT Std"/>
      <w:color w:val="000000"/>
    </w:rPr>
  </w:style>
  <w:style w:type="paragraph" w:customStyle="1" w:styleId="TOC">
    <w:name w:val="TOC"/>
    <w:rsid w:val="00C46891"/>
    <w:pPr>
      <w:tabs>
        <w:tab w:val="left" w:leader="dot" w:pos="6984"/>
      </w:tabs>
      <w:ind w:left="720" w:hanging="720"/>
    </w:pPr>
    <w:rPr>
      <w:rFonts w:ascii="Helvetica LT Std" w:eastAsia="MS Mincho" w:hAnsi="Helvetica LT Std"/>
      <w:color w:val="000000"/>
      <w:sz w:val="24"/>
    </w:rPr>
  </w:style>
  <w:style w:type="paragraph" w:customStyle="1" w:styleId="PP">
    <w:name w:val="PP"/>
    <w:rsid w:val="00C46891"/>
    <w:pPr>
      <w:pBdr>
        <w:top w:val="single" w:sz="4" w:space="1" w:color="auto"/>
        <w:bottom w:val="single" w:sz="4" w:space="1" w:color="auto"/>
      </w:pBdr>
      <w:spacing w:after="240"/>
      <w:jc w:val="both"/>
    </w:pPr>
    <w:rPr>
      <w:color w:val="000000"/>
      <w:sz w:val="24"/>
    </w:rPr>
  </w:style>
  <w:style w:type="paragraph" w:customStyle="1" w:styleId="PO">
    <w:name w:val="PO"/>
    <w:rsid w:val="00C46891"/>
    <w:pPr>
      <w:spacing w:after="240"/>
      <w:jc w:val="both"/>
    </w:pPr>
    <w:rPr>
      <w:rFonts w:ascii="Helvetica LT Std" w:hAnsi="Helvetica LT Std"/>
      <w:color w:val="000000"/>
      <w:w w:val="95"/>
      <w:szCs w:val="16"/>
    </w:rPr>
  </w:style>
  <w:style w:type="paragraph" w:styleId="Header">
    <w:name w:val="header"/>
    <w:basedOn w:val="Normal"/>
    <w:link w:val="HeaderChar"/>
    <w:rsid w:val="00C46891"/>
    <w:pPr>
      <w:tabs>
        <w:tab w:val="center" w:pos="4320"/>
        <w:tab w:val="right" w:pos="8640"/>
      </w:tabs>
    </w:pPr>
    <w:rPr>
      <w:rFonts w:ascii="Times New Roman" w:hAnsi="Times New Roman"/>
      <w:sz w:val="24"/>
      <w:szCs w:val="24"/>
    </w:rPr>
  </w:style>
  <w:style w:type="paragraph" w:styleId="Footer">
    <w:name w:val="footer"/>
    <w:basedOn w:val="Normal"/>
    <w:link w:val="FooterChar"/>
    <w:rsid w:val="00C46891"/>
    <w:pPr>
      <w:tabs>
        <w:tab w:val="center" w:pos="4320"/>
        <w:tab w:val="right" w:pos="8640"/>
      </w:tabs>
    </w:pPr>
    <w:rPr>
      <w:rFonts w:ascii="Times New Roman" w:hAnsi="Times New Roman"/>
      <w:sz w:val="24"/>
      <w:szCs w:val="24"/>
    </w:rPr>
  </w:style>
  <w:style w:type="paragraph" w:styleId="Caption">
    <w:name w:val="caption"/>
    <w:basedOn w:val="Normal"/>
    <w:next w:val="Normal"/>
    <w:qFormat/>
    <w:rsid w:val="00C46891"/>
    <w:pPr>
      <w:jc w:val="right"/>
    </w:pPr>
    <w:rPr>
      <w:rFonts w:ascii="Arial" w:hAnsi="Arial"/>
      <w:b/>
      <w:sz w:val="24"/>
      <w:szCs w:val="24"/>
    </w:rPr>
  </w:style>
  <w:style w:type="paragraph" w:customStyle="1" w:styleId="GUIDEX">
    <w:name w:val="GUIDEX"/>
    <w:rsid w:val="00C46891"/>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C46891"/>
    <w:pPr>
      <w:tabs>
        <w:tab w:val="clear" w:pos="6984"/>
        <w:tab w:val="left" w:pos="240"/>
        <w:tab w:val="left" w:pos="480"/>
        <w:tab w:val="left" w:pos="720"/>
        <w:tab w:val="left" w:pos="965"/>
        <w:tab w:val="right" w:leader="dot" w:pos="4320"/>
      </w:tabs>
    </w:pPr>
  </w:style>
  <w:style w:type="paragraph" w:styleId="FootnoteText">
    <w:name w:val="footnote text"/>
    <w:basedOn w:val="Normal"/>
    <w:rsid w:val="00C46891"/>
    <w:rPr>
      <w:rFonts w:ascii="Times New Roman" w:hAnsi="Times New Roman"/>
      <w:szCs w:val="24"/>
    </w:rPr>
  </w:style>
  <w:style w:type="character" w:styleId="FootnoteReference">
    <w:name w:val="footnote reference"/>
    <w:rsid w:val="00C46891"/>
    <w:rPr>
      <w:vertAlign w:val="superscript"/>
    </w:rPr>
  </w:style>
  <w:style w:type="paragraph" w:customStyle="1" w:styleId="BHead">
    <w:name w:val="BHead"/>
    <w:rsid w:val="00C46891"/>
    <w:pPr>
      <w:spacing w:before="288"/>
    </w:pPr>
    <w:rPr>
      <w:b/>
      <w:sz w:val="26"/>
    </w:rPr>
  </w:style>
  <w:style w:type="paragraph" w:customStyle="1" w:styleId="AHead">
    <w:name w:val="AHead"/>
    <w:rsid w:val="00C46891"/>
    <w:pPr>
      <w:jc w:val="center"/>
    </w:pPr>
    <w:rPr>
      <w:b/>
      <w:caps/>
      <w:noProof/>
      <w:sz w:val="28"/>
    </w:rPr>
  </w:style>
  <w:style w:type="paragraph" w:customStyle="1" w:styleId="Style2">
    <w:name w:val="Style2"/>
    <w:basedOn w:val="Header"/>
    <w:rsid w:val="00C46891"/>
    <w:pPr>
      <w:tabs>
        <w:tab w:val="clear" w:pos="4320"/>
        <w:tab w:val="clear" w:pos="8640"/>
      </w:tabs>
      <w:ind w:left="907" w:right="792"/>
      <w:jc w:val="both"/>
    </w:pPr>
    <w:rPr>
      <w:b/>
      <w:sz w:val="20"/>
      <w:szCs w:val="20"/>
    </w:rPr>
  </w:style>
  <w:style w:type="paragraph" w:customStyle="1" w:styleId="Standard">
    <w:name w:val="Standard"/>
    <w:rsid w:val="00C46891"/>
    <w:pPr>
      <w:spacing w:before="144" w:line="230" w:lineRule="auto"/>
      <w:jc w:val="both"/>
    </w:pPr>
    <w:rPr>
      <w:noProof/>
      <w:color w:val="000000"/>
    </w:rPr>
  </w:style>
  <w:style w:type="paragraph" w:customStyle="1" w:styleId="BasicParagraph">
    <w:name w:val="[Basic Paragraph]"/>
    <w:basedOn w:val="Normal"/>
    <w:rsid w:val="008405D2"/>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C46891"/>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C46891"/>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C46891"/>
    <w:pPr>
      <w:spacing w:after="240"/>
      <w:ind w:left="432" w:right="432" w:firstLine="432"/>
      <w:jc w:val="both"/>
    </w:pPr>
    <w:rPr>
      <w:rFonts w:ascii="Helvetica LT Std" w:hAnsi="Helvetica LT Std"/>
      <w:color w:val="000000"/>
      <w:sz w:val="24"/>
    </w:rPr>
  </w:style>
  <w:style w:type="paragraph" w:customStyle="1" w:styleId="PART">
    <w:name w:val="PART"/>
    <w:rsid w:val="00C46891"/>
    <w:pPr>
      <w:spacing w:after="240"/>
      <w:jc w:val="center"/>
    </w:pPr>
    <w:rPr>
      <w:rFonts w:ascii="Tw Cen MT" w:eastAsia="Arial Unicode MS" w:hAnsi="Tw Cen MT"/>
      <w:b/>
      <w:caps/>
      <w:w w:val="110"/>
      <w:sz w:val="44"/>
      <w:szCs w:val="32"/>
    </w:rPr>
  </w:style>
  <w:style w:type="character" w:styleId="CommentReference">
    <w:name w:val="annotation reference"/>
    <w:rsid w:val="00596690"/>
    <w:rPr>
      <w:sz w:val="16"/>
      <w:szCs w:val="16"/>
    </w:rPr>
  </w:style>
  <w:style w:type="paragraph" w:styleId="CommentText">
    <w:name w:val="annotation text"/>
    <w:basedOn w:val="Normal"/>
    <w:link w:val="CommentTextChar"/>
    <w:rsid w:val="00596690"/>
  </w:style>
  <w:style w:type="character" w:customStyle="1" w:styleId="CommentTextChar">
    <w:name w:val="Comment Text Char"/>
    <w:link w:val="CommentText"/>
    <w:rsid w:val="00596690"/>
    <w:rPr>
      <w:rFonts w:ascii="Perpetua" w:hAnsi="Perpetua"/>
    </w:rPr>
  </w:style>
  <w:style w:type="paragraph" w:styleId="CommentSubject">
    <w:name w:val="annotation subject"/>
    <w:basedOn w:val="CommentText"/>
    <w:next w:val="CommentText"/>
    <w:link w:val="CommentSubjectChar"/>
    <w:rsid w:val="00596690"/>
    <w:rPr>
      <w:b/>
      <w:bCs/>
    </w:rPr>
  </w:style>
  <w:style w:type="character" w:customStyle="1" w:styleId="CommentSubjectChar">
    <w:name w:val="Comment Subject Char"/>
    <w:link w:val="CommentSubject"/>
    <w:rsid w:val="00596690"/>
    <w:rPr>
      <w:rFonts w:ascii="Perpetua" w:hAnsi="Perpetua"/>
      <w:b/>
      <w:bCs/>
    </w:rPr>
  </w:style>
  <w:style w:type="character" w:styleId="Hyperlink">
    <w:name w:val="Hyperlink"/>
    <w:rsid w:val="00C46891"/>
    <w:rPr>
      <w:color w:val="0000FF"/>
      <w:u w:val="single"/>
    </w:rPr>
  </w:style>
  <w:style w:type="character" w:styleId="FollowedHyperlink">
    <w:name w:val="FollowedHyperlink"/>
    <w:rsid w:val="00A75B77"/>
    <w:rPr>
      <w:color w:val="800080"/>
      <w:u w:val="single"/>
    </w:rPr>
  </w:style>
  <w:style w:type="character" w:customStyle="1" w:styleId="PAChar">
    <w:name w:val="PA Char"/>
    <w:link w:val="PA"/>
    <w:rsid w:val="007D6C95"/>
    <w:rPr>
      <w:rFonts w:ascii="Helvetica LT Std" w:hAnsi="Helvetica LT Std"/>
      <w:color w:val="000000"/>
      <w:sz w:val="24"/>
    </w:rPr>
  </w:style>
  <w:style w:type="character" w:customStyle="1" w:styleId="PQChar">
    <w:name w:val="PQ Char"/>
    <w:link w:val="PQ"/>
    <w:rsid w:val="00C46891"/>
    <w:rPr>
      <w:color w:val="000000"/>
    </w:rPr>
  </w:style>
  <w:style w:type="table" w:styleId="TableGrid">
    <w:name w:val="Table Grid"/>
    <w:basedOn w:val="TableNormal"/>
    <w:rsid w:val="007D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7D6C95"/>
    <w:pPr>
      <w:tabs>
        <w:tab w:val="clear" w:pos="240"/>
        <w:tab w:val="clear" w:pos="480"/>
        <w:tab w:val="clear" w:pos="720"/>
        <w:tab w:val="right" w:pos="4680"/>
      </w:tabs>
    </w:pPr>
  </w:style>
  <w:style w:type="paragraph" w:customStyle="1" w:styleId="PCB">
    <w:name w:val="PCB"/>
    <w:basedOn w:val="PC"/>
    <w:rsid w:val="00C46891"/>
    <w:pPr>
      <w:numPr>
        <w:numId w:val="23"/>
      </w:numPr>
    </w:pPr>
  </w:style>
  <w:style w:type="paragraph" w:customStyle="1" w:styleId="PFB">
    <w:name w:val="PFB"/>
    <w:rsid w:val="00C46891"/>
    <w:pPr>
      <w:numPr>
        <w:numId w:val="24"/>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7D6C95"/>
    <w:rPr>
      <w:rFonts w:ascii="Perpetua Std" w:hAnsi="Perpetua Std"/>
    </w:rPr>
  </w:style>
  <w:style w:type="paragraph" w:styleId="NoSpacing">
    <w:name w:val="No Spacing"/>
    <w:qFormat/>
    <w:rsid w:val="007D6C95"/>
    <w:rPr>
      <w:rFonts w:ascii="Perpetua" w:hAnsi="Perpetua"/>
    </w:rPr>
  </w:style>
  <w:style w:type="paragraph" w:customStyle="1" w:styleId="PCA">
    <w:name w:val="PCA"/>
    <w:rsid w:val="00C46891"/>
    <w:pPr>
      <w:numPr>
        <w:numId w:val="20"/>
      </w:numPr>
      <w:tabs>
        <w:tab w:val="left" w:pos="720"/>
      </w:tabs>
      <w:spacing w:after="240"/>
      <w:jc w:val="both"/>
    </w:pPr>
    <w:rPr>
      <w:rFonts w:ascii="Helvetica LT Std" w:hAnsi="Helvetica LT Std"/>
      <w:sz w:val="24"/>
    </w:rPr>
  </w:style>
  <w:style w:type="paragraph" w:customStyle="1" w:styleId="PHB">
    <w:name w:val="PHB"/>
    <w:rsid w:val="00C46891"/>
    <w:pPr>
      <w:numPr>
        <w:numId w:val="21"/>
      </w:numPr>
      <w:spacing w:after="240"/>
      <w:jc w:val="both"/>
    </w:pPr>
    <w:rPr>
      <w:rFonts w:ascii="Helvetica LT Std" w:hAnsi="Helvetica LT Std"/>
      <w:sz w:val="24"/>
    </w:rPr>
  </w:style>
  <w:style w:type="character" w:customStyle="1" w:styleId="IndexChar">
    <w:name w:val="Index Char"/>
    <w:link w:val="Index"/>
    <w:rsid w:val="007D6C95"/>
    <w:rPr>
      <w:rFonts w:ascii="Helvetica LT Std" w:eastAsia="MS Mincho" w:hAnsi="Helvetica LT Std"/>
      <w:color w:val="000000"/>
      <w:sz w:val="24"/>
    </w:rPr>
  </w:style>
  <w:style w:type="character" w:styleId="Emphasis">
    <w:name w:val="Emphasis"/>
    <w:qFormat/>
    <w:rsid w:val="00C46891"/>
    <w:rPr>
      <w:b/>
      <w:bCs/>
      <w:i w:val="0"/>
      <w:iCs w:val="0"/>
    </w:rPr>
  </w:style>
  <w:style w:type="paragraph" w:styleId="NormalWeb">
    <w:name w:val="Normal (Web)"/>
    <w:basedOn w:val="Normal"/>
    <w:rsid w:val="00C46891"/>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C46891"/>
  </w:style>
  <w:style w:type="character" w:customStyle="1" w:styleId="EndnoteTextChar">
    <w:name w:val="Endnote Text Char"/>
    <w:link w:val="EndnoteText"/>
    <w:rsid w:val="007D6C95"/>
    <w:rPr>
      <w:rFonts w:ascii="Perpetua" w:hAnsi="Perpetua"/>
    </w:rPr>
  </w:style>
  <w:style w:type="character" w:styleId="EndnoteReference">
    <w:name w:val="endnote reference"/>
    <w:rsid w:val="00C46891"/>
    <w:rPr>
      <w:vertAlign w:val="superscript"/>
    </w:rPr>
  </w:style>
  <w:style w:type="character" w:customStyle="1" w:styleId="EmailStyle611">
    <w:name w:val="EmailStyle611"/>
    <w:rsid w:val="00C46891"/>
    <w:rPr>
      <w:rFonts w:ascii="Arial" w:hAnsi="Arial" w:cs="Arial"/>
      <w:color w:val="auto"/>
      <w:sz w:val="20"/>
      <w:szCs w:val="20"/>
    </w:rPr>
  </w:style>
  <w:style w:type="character" w:customStyle="1" w:styleId="pa-h2">
    <w:name w:val="pa-h2"/>
    <w:rsid w:val="00C46891"/>
    <w:rPr>
      <w:rFonts w:ascii="Helvetica LT Std" w:hAnsi="Helvetica LT Std" w:hint="default"/>
      <w:color w:val="000000"/>
      <w:sz w:val="24"/>
      <w:szCs w:val="24"/>
    </w:rPr>
  </w:style>
  <w:style w:type="character" w:customStyle="1" w:styleId="HeaderChar">
    <w:name w:val="Header Char"/>
    <w:link w:val="Header"/>
    <w:rsid w:val="00C46891"/>
    <w:rPr>
      <w:sz w:val="24"/>
      <w:szCs w:val="24"/>
    </w:rPr>
  </w:style>
  <w:style w:type="character" w:customStyle="1" w:styleId="FooterChar">
    <w:name w:val="Footer Char"/>
    <w:link w:val="Footer"/>
    <w:rsid w:val="00C46891"/>
    <w:rPr>
      <w:sz w:val="24"/>
      <w:szCs w:val="24"/>
    </w:rPr>
  </w:style>
  <w:style w:type="paragraph" w:styleId="Subtitle">
    <w:name w:val="Subtitle"/>
    <w:basedOn w:val="Normal"/>
    <w:link w:val="SubtitleChar"/>
    <w:qFormat/>
    <w:rsid w:val="00C46891"/>
    <w:pPr>
      <w:keepNext/>
      <w:spacing w:after="240"/>
    </w:pPr>
    <w:rPr>
      <w:rFonts w:ascii="Times New Roman" w:hAnsi="Times New Roman" w:cs="Arial"/>
      <w:b/>
      <w:sz w:val="24"/>
      <w:szCs w:val="24"/>
    </w:rPr>
  </w:style>
  <w:style w:type="character" w:customStyle="1" w:styleId="SubtitleChar">
    <w:name w:val="Subtitle Char"/>
    <w:link w:val="Subtitle"/>
    <w:rsid w:val="00C46891"/>
    <w:rPr>
      <w:rFonts w:cs="Arial"/>
      <w:b/>
      <w:sz w:val="24"/>
      <w:szCs w:val="24"/>
    </w:rPr>
  </w:style>
  <w:style w:type="character" w:customStyle="1" w:styleId="PlainTextChar">
    <w:name w:val="Plain Text Char"/>
    <w:link w:val="PlainText"/>
    <w:rsid w:val="00C46891"/>
    <w:rPr>
      <w:rFonts w:ascii="Courier New" w:hAnsi="Courier New" w:cs="Courier New"/>
      <w:sz w:val="24"/>
      <w:szCs w:val="24"/>
    </w:rPr>
  </w:style>
  <w:style w:type="character" w:customStyle="1" w:styleId="BalloonTextChar">
    <w:name w:val="Balloon Text Char"/>
    <w:link w:val="BalloonText"/>
    <w:rsid w:val="00C46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moss.nuco.com/taxfacts2015/tfins/p4-healthins/empprovheains/empded/Pages/0313-00-tf1.aspx" TargetMode="External"/><Relationship Id="rId5" Type="http://schemas.openxmlformats.org/officeDocument/2006/relationships/settings" Target="settings.xml"/><Relationship Id="rId10" Type="http://schemas.openxmlformats.org/officeDocument/2006/relationships/hyperlink" Target="http://pro.moss.nuco.com/taxfacts2015/tfempb/p2-cafplan/ingen/Pages/3501-00-TF1.aspx" TargetMode="External"/><Relationship Id="rId4" Type="http://schemas.microsoft.com/office/2007/relationships/stylesWithEffects" Target="stylesWithEffects.xml"/><Relationship Id="rId9" Type="http://schemas.openxmlformats.org/officeDocument/2006/relationships/hyperlink" Target="http://pro.moss.nuco.com/taxfacts2015/tfins/p4-healthins/heamsas/ingen/Pages/0370-00-TF1.asp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20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6CEA-5502-4873-9B38-D082E40D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 Online</Template>
  <TotalTime>0</TotalTime>
  <Pages>3</Pages>
  <Words>927</Words>
  <Characters>5286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372. What are the limits on amounts contributed to a Health Savings Account (HSA)?</vt:lpstr>
    </vt:vector>
  </TitlesOfParts>
  <Company>Albany Law School</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372. What are the limits on amounts contributed to a Health Savings Account (HSA)?</dc:title>
  <dc:creator>Nuco Employee</dc:creator>
  <cp:lastModifiedBy>rcline</cp:lastModifiedBy>
  <cp:revision>2</cp:revision>
  <dcterms:created xsi:type="dcterms:W3CDTF">2015-06-01T18:23:00Z</dcterms:created>
  <dcterms:modified xsi:type="dcterms:W3CDTF">2015-06-01T18:23:00Z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Map Loc 1">
    <vt:lpwstr>Site Map/Employee Benefits/Health Insurance/Health and Medical Savings Accounts/Contributions</vt:lpwstr>
  </property>
  <property fmtid="{D5CDD505-2E9C-101B-9397-08002B2CF9AE}" pid="3" name="Site Map Loc 2">
    <vt:lpwstr>Site Map/Health Insurance/Health and Medical Savings Accounts/Contributions</vt:lpwstr>
  </property>
  <property fmtid="{D5CDD505-2E9C-101B-9397-08002B2CF9AE}" pid="4" name="Keywords0">
    <vt:lpwstr/>
  </property>
  <property fmtid="{D5CDD505-2E9C-101B-9397-08002B2CF9AE}" pid="5" name="Abstract">
    <vt:lpwstr/>
  </property>
  <property fmtid="{D5CDD505-2E9C-101B-9397-08002B2CF9AE}" pid="6" name="Metadata">
    <vt:lpwstr/>
  </property>
  <property fmtid="{D5CDD505-2E9C-101B-9397-08002B2CF9AE}" pid="7" name="Creation Date">
    <vt:lpwstr>2005-01-25T00:00:00Z</vt:lpwstr>
  </property>
  <property fmtid="{D5CDD505-2E9C-101B-9397-08002B2CF9AE}" pid="8" name="Expiration Date0">
    <vt:lpwstr/>
  </property>
  <property fmtid="{D5CDD505-2E9C-101B-9397-08002B2CF9AE}" pid="9" name="Content Type">
    <vt:lpwstr>TaxFactsDefaultArticle</vt:lpwstr>
  </property>
  <property fmtid="{D5CDD505-2E9C-101B-9397-08002B2CF9AE}" pid="10" name="Image 1">
    <vt:lpwstr/>
  </property>
  <property fmtid="{D5CDD505-2E9C-101B-9397-08002B2CF9AE}" pid="11" name="Image 2">
    <vt:lpwstr/>
  </property>
  <property fmtid="{D5CDD505-2E9C-101B-9397-08002B2CF9AE}" pid="12" name="Related Link 1">
    <vt:lpwstr/>
  </property>
  <property fmtid="{D5CDD505-2E9C-101B-9397-08002B2CF9AE}" pid="13" name="Related Link 2">
    <vt:lpwstr/>
  </property>
  <property fmtid="{D5CDD505-2E9C-101B-9397-08002B2CF9AE}" pid="14" name="Related Link 3">
    <vt:lpwstr/>
  </property>
  <property fmtid="{D5CDD505-2E9C-101B-9397-08002B2CF9AE}" pid="15" name="Site Map Loc 3">
    <vt:lpwstr/>
  </property>
  <property fmtid="{D5CDD505-2E9C-101B-9397-08002B2CF9AE}" pid="16" name="Site Map Loc 4">
    <vt:lpwstr/>
  </property>
  <property fmtid="{D5CDD505-2E9C-101B-9397-08002B2CF9AE}" pid="17" name="Site Map Loc 5">
    <vt:lpwstr/>
  </property>
  <property fmtid="{D5CDD505-2E9C-101B-9397-08002B2CF9AE}" pid="18" name="Site Map Loc 6">
    <vt:lpwstr/>
  </property>
  <property fmtid="{D5CDD505-2E9C-101B-9397-08002B2CF9AE}" pid="19" name="Site Map Loc 7">
    <vt:lpwstr/>
  </property>
  <property fmtid="{D5CDD505-2E9C-101B-9397-08002B2CF9AE}" pid="20" name="Site Map Loc 8">
    <vt:lpwstr/>
  </property>
  <property fmtid="{D5CDD505-2E9C-101B-9397-08002B2CF9AE}" pid="21" name="Site Map Loc 9">
    <vt:lpwstr/>
  </property>
  <property fmtid="{D5CDD505-2E9C-101B-9397-08002B2CF9AE}" pid="22" name="TFCDROM">
    <vt:lpwstr>1</vt:lpwstr>
  </property>
  <property fmtid="{D5CDD505-2E9C-101B-9397-08002B2CF9AE}" pid="23" name="TFIDLNumber">
    <vt:lpwstr>1451</vt:lpwstr>
  </property>
  <property fmtid="{D5CDD505-2E9C-101B-9397-08002B2CF9AE}" pid="24" name="TFFileName">
    <vt:lpwstr>0198-00-tf1.xml</vt:lpwstr>
  </property>
  <property fmtid="{D5CDD505-2E9C-101B-9397-08002B2CF9AE}" pid="25" name="TFQuestionNumber">
    <vt:lpwstr>199.00</vt:lpwstr>
  </property>
  <property fmtid="{D5CDD505-2E9C-101B-9397-08002B2CF9AE}" pid="26" name="TFTaxonomy">
    <vt:lpwstr>;#1682;#1773;#</vt:lpwstr>
  </property>
  <property fmtid="{D5CDD505-2E9C-101B-9397-08002B2CF9AE}" pid="27" name="ContentTypeId">
    <vt:lpwstr>0x010100C568DB52D9D0A14D9B2FDCC96666E9F2007948130EC3DB064584E219954237AF3900242457EFB8B24247815D688C526CD44D009C4E67E972694125ABDA91AC61F5E51F</vt:lpwstr>
  </property>
  <property fmtid="{D5CDD505-2E9C-101B-9397-08002B2CF9AE}" pid="28" name="TFBook">
    <vt:lpwstr>Tax Facts 1</vt:lpwstr>
  </property>
  <property fmtid="{D5CDD505-2E9C-101B-9397-08002B2CF9AE}" pid="29" name="TFQuestionTitle">
    <vt:lpwstr>What are the limits on amounts contributed to a Health Savings Account (HSA)?</vt:lpwstr>
  </property>
  <property fmtid="{D5CDD505-2E9C-101B-9397-08002B2CF9AE}" pid="30" name="Order">
    <vt:lpwstr>111500.000000000</vt:lpwstr>
  </property>
  <property fmtid="{D5CDD505-2E9C-101B-9397-08002B2CF9AE}" pid="31" name="ContentType">
    <vt:lpwstr>TaxFactsDefaultArticle</vt:lpwstr>
  </property>
  <property fmtid="{D5CDD505-2E9C-101B-9397-08002B2CF9AE}" pid="32" name="Comments">
    <vt:lpwstr/>
  </property>
  <property fmtid="{D5CDD505-2E9C-101B-9397-08002B2CF9AE}" pid="33" name="TFAbstract">
    <vt:lpwstr/>
  </property>
  <property fmtid="{D5CDD505-2E9C-101B-9397-08002B2CF9AE}" pid="34" name="TFRelatedLinkName1">
    <vt:lpwstr/>
  </property>
  <property fmtid="{D5CDD505-2E9C-101B-9397-08002B2CF9AE}" pid="35" name="TFRelatedLinkName2">
    <vt:lpwstr/>
  </property>
  <property fmtid="{D5CDD505-2E9C-101B-9397-08002B2CF9AE}" pid="36" name="TFRelatedLinkName3">
    <vt:lpwstr/>
  </property>
  <property fmtid="{D5CDD505-2E9C-101B-9397-08002B2CF9AE}" pid="37" name="TFSortWeight">
    <vt:lpwstr/>
  </property>
  <property fmtid="{D5CDD505-2E9C-101B-9397-08002B2CF9AE}" pid="38" name="Published By">
    <vt:lpwstr>SBMEDIA\cjump</vt:lpwstr>
  </property>
  <property fmtid="{D5CDD505-2E9C-101B-9397-08002B2CF9AE}" pid="39" name="Published">
    <vt:lpwstr>2010-06-04T11:14:02Z</vt:lpwstr>
  </property>
  <property fmtid="{D5CDD505-2E9C-101B-9397-08002B2CF9AE}" pid="40" name="RcaPageId">
    <vt:lpwstr>4111dbb3-6119-41fc-9d9c-28768801cec4|77032e86-d212-4bf4-ac49-24c6b8de108c|679cc622-826c-4810-8976-884ed4a7aec1</vt:lpwstr>
  </property>
</Properties>
</file>